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天津市文化遗产保护中心</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r>
        <w:rPr>
          <w:rFonts w:ascii="方正小标宋_GBK" w:hAnsi="方正小标宋_GBK" w:eastAsia="方正小标宋_GBK" w:cs="方正小标宋_GBK"/>
          <w:sz w:val="30"/>
        </w:rPr>
        <w:t xml:space="preserve"> </w:t>
      </w:r>
    </w:p>
    <w:p>
      <w:pPr>
        <w:pStyle w:val="9"/>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"_Toc157760365"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1.</w:t>
      </w:r>
      <w:r>
        <w:rPr>
          <w:rStyle w:val="16"/>
          <w:rFonts w:hint="eastAsia" w:ascii="方正仿宋_GBK" w:hAnsi="方正仿宋_GBK" w:eastAsia="方正仿宋_GBK" w:cs="方正仿宋_GBK"/>
        </w:rPr>
        <w:t>博物馆、纪念馆免费开放补助经费绩效目标表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"_Toc157760366"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2</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天津市文化遗产保护中心（元明清天妃宫遗址博物馆）运行经费绩效目标表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"_Toc157760367"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3</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文化遗产数字化建设维护绩效目标表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"_Toc157760368"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4</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基建考古绩效目标表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"_Toc157760369"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5</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w:t>
      </w:r>
      <w:bookmarkStart w:id="13" w:name="_GoBack"/>
      <w:bookmarkEnd w:id="13"/>
      <w:r>
        <w:rPr>
          <w:rStyle w:val="16"/>
          <w:rFonts w:hint="eastAsia" w:ascii="方正仿宋_GBK" w:hAnsi="方正仿宋_GBK" w:eastAsia="方正仿宋_GBK" w:cs="方正仿宋_GBK"/>
        </w:rPr>
        <w:t>财政拨款项目支出-</w:t>
      </w:r>
      <w:r>
        <w:rPr>
          <w:rStyle w:val="16"/>
          <w:rFonts w:hint="eastAsia" w:ascii="方正仿宋_GBK" w:hAnsi="方正仿宋_GBK" w:eastAsia="方正仿宋_GBK" w:cs="方正仿宋_GBK"/>
        </w:rPr>
        <w:t>人才培养经费绩效目标表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"_Toc157760370"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6</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天津张湾明代沉船遗址考古资料整理与研究绩效目标表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"_Toc157760371"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7</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文物进出境审核绩效目标表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"_Toc157760372"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8</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天津市蓟州区青池遗址考古发掘项目（2023</w:t>
      </w:r>
      <w:r>
        <w:rPr>
          <w:rStyle w:val="16"/>
          <w:rFonts w:hint="eastAsia" w:ascii="方正仿宋_GBK" w:hAnsi="方正仿宋_GBK" w:eastAsia="方正仿宋_GBK" w:cs="方正仿宋_GBK"/>
        </w:rPr>
        <w:t>年国家文物保护专项资金第二批）-</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"_Toc157760373"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9</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天津市文物保护项目咨询论证绩效目标表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"_Toc157760374"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10</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文物保护工程资质管理绩效目标表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"_Toc157760375"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11</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文物鉴定评估工作经费绩效目标表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"_Toc157760376"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12</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文物认定及定级工作经费绩效目标表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"_Toc157760377"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13</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中国文化和自然遗产日宣传活动绩效目标表</w:t>
      </w:r>
      <w:r>
        <w:rPr>
          <w:rStyle w:val="16"/>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仿宋_GBK" w:hAnsi="方正仿宋_GBK" w:eastAsia="方正仿宋_GBK" w:cs="方正仿宋_GBK"/>
          <w:sz w:val="28"/>
        </w:rPr>
        <w:t xml:space="preserve"> </w:t>
      </w:r>
    </w:p>
    <w:p>
      <w:pPr>
        <w:ind w:firstLine="560"/>
        <w:outlineLvl w:val="3"/>
      </w:pPr>
      <w:bookmarkStart w:id="0" w:name="_Toc157760365"/>
      <w:r>
        <w:rPr>
          <w:rFonts w:ascii="方正仿宋_GBK" w:hAnsi="方正仿宋_GBK" w:eastAsia="方正仿宋_GBK" w:cs="方正仿宋_GBK"/>
          <w:sz w:val="28"/>
        </w:rPr>
        <w:t>1.博物馆、纪念馆免费开放补助经费绩效目标表</w:t>
      </w:r>
      <w:bookmarkEnd w:id="0"/>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26.00</w:t>
            </w:r>
          </w:p>
        </w:tc>
        <w:tc>
          <w:tcPr>
            <w:tcW w:w="1327" w:type="dxa"/>
            <w:vAlign w:val="center"/>
          </w:tcPr>
          <w:p>
            <w:pPr>
              <w:pStyle w:val="23"/>
            </w:pPr>
            <w:r>
              <w:t>其中：财政    资金</w:t>
            </w:r>
          </w:p>
        </w:tc>
        <w:tc>
          <w:tcPr>
            <w:tcW w:w="1327" w:type="dxa"/>
            <w:vAlign w:val="center"/>
          </w:tcPr>
          <w:p>
            <w:pPr>
              <w:pStyle w:val="22"/>
            </w:pPr>
            <w:r>
              <w:t>26.00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天妃宫遗址博物馆免费开放补助经费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1.通过开展巡展进校园、进社区“七进”、中秋、国庆、国际博物馆日、文化和自然遗产日等重要事件节点开展丰富多彩的宣教活动，文创产品开发工作持续创新推进，弘扬中华传统文化。</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活动组织青少年参与人数</w:t>
            </w:r>
          </w:p>
        </w:tc>
        <w:tc>
          <w:tcPr>
            <w:tcW w:w="2654" w:type="dxa"/>
            <w:vAlign w:val="center"/>
          </w:tcPr>
          <w:p>
            <w:pPr>
              <w:pStyle w:val="22"/>
            </w:pPr>
            <w:r>
              <w:t>活动组织青少年参与人数</w:t>
            </w:r>
          </w:p>
        </w:tc>
        <w:tc>
          <w:tcPr>
            <w:tcW w:w="2654"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展览开展合格率</w:t>
            </w:r>
          </w:p>
        </w:tc>
        <w:tc>
          <w:tcPr>
            <w:tcW w:w="2654" w:type="dxa"/>
            <w:vAlign w:val="center"/>
          </w:tcPr>
          <w:p>
            <w:pPr>
              <w:pStyle w:val="22"/>
            </w:pPr>
            <w:r>
              <w:t>展览开展合格率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活动完成时间</w:t>
            </w:r>
          </w:p>
        </w:tc>
        <w:tc>
          <w:tcPr>
            <w:tcW w:w="2654" w:type="dxa"/>
            <w:vAlign w:val="center"/>
          </w:tcPr>
          <w:p>
            <w:pPr>
              <w:pStyle w:val="22"/>
            </w:pPr>
            <w:r>
              <w:t>活动完成时间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免费开放经费</w:t>
            </w:r>
          </w:p>
        </w:tc>
        <w:tc>
          <w:tcPr>
            <w:tcW w:w="2654" w:type="dxa"/>
            <w:vAlign w:val="center"/>
          </w:tcPr>
          <w:p>
            <w:pPr>
              <w:pStyle w:val="22"/>
            </w:pPr>
            <w:r>
              <w:t>免费开放经费</w:t>
            </w:r>
          </w:p>
        </w:tc>
        <w:tc>
          <w:tcPr>
            <w:tcW w:w="2654" w:type="dxa"/>
            <w:vAlign w:val="center"/>
          </w:tcPr>
          <w:p>
            <w:pPr>
              <w:pStyle w:val="2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弘扬中华传统文化</w:t>
            </w:r>
          </w:p>
        </w:tc>
        <w:tc>
          <w:tcPr>
            <w:tcW w:w="2654" w:type="dxa"/>
            <w:vAlign w:val="center"/>
          </w:tcPr>
          <w:p>
            <w:pPr>
              <w:pStyle w:val="22"/>
            </w:pPr>
            <w:r>
              <w:t>弘扬中华传统文化</w:t>
            </w:r>
          </w:p>
        </w:tc>
        <w:tc>
          <w:tcPr>
            <w:tcW w:w="2654" w:type="dxa"/>
            <w:vAlign w:val="center"/>
          </w:tcPr>
          <w:p>
            <w:pPr>
              <w:pStyle w:val="22"/>
            </w:pPr>
            <w:r>
              <w:t>进一步弘扬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参展人员满意度</w:t>
            </w:r>
          </w:p>
        </w:tc>
        <w:tc>
          <w:tcPr>
            <w:tcW w:w="2654" w:type="dxa"/>
            <w:vAlign w:val="center"/>
          </w:tcPr>
          <w:p>
            <w:pPr>
              <w:pStyle w:val="22"/>
            </w:pPr>
            <w:r>
              <w:t>参展人员满意度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0366"/>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.天津市文化遗产保护中心（元明清天妃宫遗址博物馆）运行经费绩效目标表</w:t>
      </w:r>
      <w:bookmarkEnd w:id="1"/>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天津市文化遗产保护中心（元明清天妃宫遗址博物馆）运行经费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146.30</w:t>
            </w:r>
          </w:p>
        </w:tc>
        <w:tc>
          <w:tcPr>
            <w:tcW w:w="1327" w:type="dxa"/>
            <w:vAlign w:val="center"/>
          </w:tcPr>
          <w:p>
            <w:pPr>
              <w:pStyle w:val="23"/>
            </w:pPr>
            <w:r>
              <w:t>其中：财政    资金</w:t>
            </w:r>
          </w:p>
        </w:tc>
        <w:tc>
          <w:tcPr>
            <w:tcW w:w="1327" w:type="dxa"/>
            <w:vAlign w:val="center"/>
          </w:tcPr>
          <w:p>
            <w:pPr>
              <w:pStyle w:val="22"/>
            </w:pPr>
            <w:r>
              <w:t>146.30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天妃宫遗址博物馆运行经费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1.通过物业服务保障博物馆正常对外开放，改善观众参观环境。</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物业服务范围</w:t>
            </w:r>
          </w:p>
        </w:tc>
        <w:tc>
          <w:tcPr>
            <w:tcW w:w="2654" w:type="dxa"/>
            <w:vAlign w:val="center"/>
          </w:tcPr>
          <w:p>
            <w:pPr>
              <w:pStyle w:val="22"/>
            </w:pPr>
            <w:r>
              <w:t>物业服务范围</w:t>
            </w:r>
          </w:p>
        </w:tc>
        <w:tc>
          <w:tcPr>
            <w:tcW w:w="2654" w:type="dxa"/>
            <w:vAlign w:val="center"/>
          </w:tcPr>
          <w:p>
            <w:pPr>
              <w:pStyle w:val="22"/>
            </w:pPr>
            <w:r>
              <w:t>14200平方米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物业服务达标率</w:t>
            </w:r>
          </w:p>
        </w:tc>
        <w:tc>
          <w:tcPr>
            <w:tcW w:w="2654" w:type="dxa"/>
            <w:vAlign w:val="center"/>
          </w:tcPr>
          <w:p>
            <w:pPr>
              <w:pStyle w:val="22"/>
            </w:pPr>
            <w:r>
              <w:t>物业服务达标率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物业服务时间</w:t>
            </w:r>
          </w:p>
        </w:tc>
        <w:tc>
          <w:tcPr>
            <w:tcW w:w="2654" w:type="dxa"/>
            <w:vAlign w:val="center"/>
          </w:tcPr>
          <w:p>
            <w:pPr>
              <w:pStyle w:val="22"/>
            </w:pPr>
            <w:r>
              <w:t>物业服务时间</w:t>
            </w:r>
          </w:p>
        </w:tc>
        <w:tc>
          <w:tcPr>
            <w:tcW w:w="2654" w:type="dxa"/>
            <w:vAlign w:val="center"/>
          </w:tcPr>
          <w:p>
            <w:pPr>
              <w:pStyle w:val="22"/>
            </w:pPr>
            <w:r>
              <w:t>2024年1-12月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物业服务费</w:t>
            </w:r>
          </w:p>
        </w:tc>
        <w:tc>
          <w:tcPr>
            <w:tcW w:w="2654" w:type="dxa"/>
            <w:vAlign w:val="center"/>
          </w:tcPr>
          <w:p>
            <w:pPr>
              <w:pStyle w:val="22"/>
            </w:pPr>
            <w:r>
              <w:t>物业服务费</w:t>
            </w:r>
          </w:p>
        </w:tc>
        <w:tc>
          <w:tcPr>
            <w:tcW w:w="2654" w:type="dxa"/>
            <w:vAlign w:val="center"/>
          </w:tcPr>
          <w:p>
            <w:pPr>
              <w:pStyle w:val="22"/>
            </w:pPr>
            <w:r>
              <w:t>≤146.3万元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优化参观环境</w:t>
            </w:r>
          </w:p>
        </w:tc>
        <w:tc>
          <w:tcPr>
            <w:tcW w:w="2654" w:type="dxa"/>
            <w:vAlign w:val="center"/>
          </w:tcPr>
          <w:p>
            <w:pPr>
              <w:pStyle w:val="22"/>
            </w:pPr>
            <w:r>
              <w:t>优化参观环境</w:t>
            </w:r>
          </w:p>
        </w:tc>
        <w:tc>
          <w:tcPr>
            <w:tcW w:w="2654" w:type="dxa"/>
            <w:vAlign w:val="center"/>
          </w:tcPr>
          <w:p>
            <w:pPr>
              <w:pStyle w:val="22"/>
            </w:pPr>
            <w:r>
              <w:t>进一步优化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参观人员满意度 </w:t>
            </w:r>
          </w:p>
        </w:tc>
        <w:tc>
          <w:tcPr>
            <w:tcW w:w="2654" w:type="dxa"/>
            <w:vAlign w:val="center"/>
          </w:tcPr>
          <w:p>
            <w:pPr>
              <w:pStyle w:val="22"/>
            </w:pPr>
            <w:r>
              <w:t xml:space="preserve">参观人员满意度 </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0367"/>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.文化遗产数字化建设维护绩效目标表</w:t>
      </w:r>
      <w:bookmarkEnd w:id="2"/>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文化遗产数字化建设维护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13.00</w:t>
            </w:r>
          </w:p>
        </w:tc>
        <w:tc>
          <w:tcPr>
            <w:tcW w:w="1327" w:type="dxa"/>
            <w:vAlign w:val="center"/>
          </w:tcPr>
          <w:p>
            <w:pPr>
              <w:pStyle w:val="23"/>
            </w:pPr>
            <w:r>
              <w:t>其中：财政    资金</w:t>
            </w:r>
          </w:p>
        </w:tc>
        <w:tc>
          <w:tcPr>
            <w:tcW w:w="1327" w:type="dxa"/>
            <w:vAlign w:val="center"/>
          </w:tcPr>
          <w:p>
            <w:pPr>
              <w:pStyle w:val="22"/>
            </w:pPr>
            <w:r>
              <w:t>13.00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文化遗产数字化建设维护工作经费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1.保证2023-2024年“文化遗产一点通”多媒体信息平台的持续运行，信息更新以及bug修正，使公众进行扫描时能够显示该文保单位的即时准确信息，促进公众对文物保护单位的认知，促进其保护。</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维护二维码链接数量</w:t>
            </w:r>
          </w:p>
        </w:tc>
        <w:tc>
          <w:tcPr>
            <w:tcW w:w="2654" w:type="dxa"/>
            <w:vAlign w:val="center"/>
          </w:tcPr>
          <w:p>
            <w:pPr>
              <w:pStyle w:val="22"/>
            </w:pPr>
            <w:r>
              <w:t>维护二维码链接数量</w:t>
            </w:r>
          </w:p>
        </w:tc>
        <w:tc>
          <w:tcPr>
            <w:tcW w:w="2654" w:type="dxa"/>
            <w:vAlign w:val="center"/>
          </w:tcPr>
          <w:p>
            <w:pPr>
              <w:pStyle w:val="22"/>
            </w:pPr>
            <w:r>
              <w:t>≥320个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链接正常运行率</w:t>
            </w:r>
          </w:p>
        </w:tc>
        <w:tc>
          <w:tcPr>
            <w:tcW w:w="2654" w:type="dxa"/>
            <w:vAlign w:val="center"/>
          </w:tcPr>
          <w:p>
            <w:pPr>
              <w:pStyle w:val="22"/>
            </w:pPr>
            <w:r>
              <w:t>链接正常运行率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后台信息及时更新时间</w:t>
            </w:r>
          </w:p>
        </w:tc>
        <w:tc>
          <w:tcPr>
            <w:tcW w:w="2654" w:type="dxa"/>
            <w:vAlign w:val="center"/>
          </w:tcPr>
          <w:p>
            <w:pPr>
              <w:pStyle w:val="22"/>
            </w:pPr>
            <w:r>
              <w:t>后台信息及时更新时间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文化遗产数字化建设经费</w:t>
            </w:r>
          </w:p>
        </w:tc>
        <w:tc>
          <w:tcPr>
            <w:tcW w:w="2654" w:type="dxa"/>
            <w:vAlign w:val="center"/>
          </w:tcPr>
          <w:p>
            <w:pPr>
              <w:pStyle w:val="22"/>
            </w:pPr>
            <w:r>
              <w:t>文化遗产数字化建设经费</w:t>
            </w:r>
          </w:p>
        </w:tc>
        <w:tc>
          <w:tcPr>
            <w:tcW w:w="2654" w:type="dxa"/>
            <w:vAlign w:val="center"/>
          </w:tcPr>
          <w:p>
            <w:pPr>
              <w:pStyle w:val="2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提高普及率</w:t>
            </w:r>
          </w:p>
        </w:tc>
        <w:tc>
          <w:tcPr>
            <w:tcW w:w="2654" w:type="dxa"/>
            <w:vAlign w:val="center"/>
          </w:tcPr>
          <w:p>
            <w:pPr>
              <w:pStyle w:val="22"/>
            </w:pPr>
            <w:r>
              <w:t>提高普及率</w:t>
            </w:r>
          </w:p>
        </w:tc>
        <w:tc>
          <w:tcPr>
            <w:tcW w:w="2654"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用户满意度</w:t>
            </w:r>
          </w:p>
        </w:tc>
        <w:tc>
          <w:tcPr>
            <w:tcW w:w="2654" w:type="dxa"/>
            <w:vAlign w:val="center"/>
          </w:tcPr>
          <w:p>
            <w:pPr>
              <w:pStyle w:val="22"/>
            </w:pPr>
            <w:r>
              <w:t>用户满意度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0368"/>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.非财政拨款项目支出-基建考古绩效目标表</w:t>
      </w:r>
      <w:bookmarkEnd w:id="3"/>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非财政拨款项目支出-基建考古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2319.70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2319.70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基建考古经费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考古调查、勘探及发掘，全面了解建设项目涉及区域的文物分布情况、查明地下文物分布状况、对无法避让的文物埋藏点进行抢救性发掘，从而保证我市和国家级重要基本建设工程顺利推进。为我市地域历史文化研究提供实物资料，为展现天津深厚历史文化资源、传承历史文脉、增强地域文化自信、讲好天津故事发挥重要作用。</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完成基建考古项目数量</w:t>
            </w:r>
          </w:p>
        </w:tc>
        <w:tc>
          <w:tcPr>
            <w:tcW w:w="2654" w:type="dxa"/>
            <w:vAlign w:val="center"/>
          </w:tcPr>
          <w:p>
            <w:pPr>
              <w:pStyle w:val="22"/>
            </w:pPr>
            <w:r>
              <w:t>完成基建考古项目数量</w:t>
            </w:r>
          </w:p>
        </w:tc>
        <w:tc>
          <w:tcPr>
            <w:tcW w:w="2654" w:type="dxa"/>
            <w:vAlign w:val="center"/>
          </w:tcPr>
          <w:p>
            <w:pPr>
              <w:pStyle w:val="22"/>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基建考古项目进件响应率</w:t>
            </w:r>
          </w:p>
        </w:tc>
        <w:tc>
          <w:tcPr>
            <w:tcW w:w="2654" w:type="dxa"/>
            <w:vAlign w:val="center"/>
          </w:tcPr>
          <w:p>
            <w:pPr>
              <w:pStyle w:val="22"/>
            </w:pPr>
            <w:r>
              <w:t>基建考古项目进件响应率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专业人员核查基础资料遗漏率</w:t>
            </w:r>
          </w:p>
        </w:tc>
        <w:tc>
          <w:tcPr>
            <w:tcW w:w="2654" w:type="dxa"/>
            <w:vAlign w:val="center"/>
          </w:tcPr>
          <w:p>
            <w:pPr>
              <w:pStyle w:val="22"/>
            </w:pPr>
            <w:r>
              <w:t>专业人员核查基础资料遗漏率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基建考古完成时间</w:t>
            </w:r>
          </w:p>
        </w:tc>
        <w:tc>
          <w:tcPr>
            <w:tcW w:w="2654" w:type="dxa"/>
            <w:vAlign w:val="center"/>
          </w:tcPr>
          <w:p>
            <w:pPr>
              <w:pStyle w:val="22"/>
            </w:pPr>
            <w:r>
              <w:t>基建考古完成时间</w:t>
            </w:r>
          </w:p>
        </w:tc>
        <w:tc>
          <w:tcPr>
            <w:tcW w:w="2654" w:type="dxa"/>
            <w:vAlign w:val="center"/>
          </w:tcPr>
          <w:p>
            <w:pPr>
              <w:pStyle w:val="22"/>
            </w:pPr>
            <w:r>
              <w:t>2024年12月底前</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基建考古经费</w:t>
            </w:r>
          </w:p>
        </w:tc>
        <w:tc>
          <w:tcPr>
            <w:tcW w:w="2654" w:type="dxa"/>
            <w:vAlign w:val="center"/>
          </w:tcPr>
          <w:p>
            <w:pPr>
              <w:pStyle w:val="22"/>
            </w:pPr>
            <w:r>
              <w:t>基建考古经费</w:t>
            </w:r>
          </w:p>
        </w:tc>
        <w:tc>
          <w:tcPr>
            <w:tcW w:w="2654" w:type="dxa"/>
            <w:vAlign w:val="center"/>
          </w:tcPr>
          <w:p>
            <w:pPr>
              <w:pStyle w:val="22"/>
            </w:pPr>
            <w:r>
              <w:t>≤2319.7万元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重要发现及相关研究成果向社会公布率</w:t>
            </w:r>
          </w:p>
        </w:tc>
        <w:tc>
          <w:tcPr>
            <w:tcW w:w="2654" w:type="dxa"/>
            <w:vAlign w:val="center"/>
          </w:tcPr>
          <w:p>
            <w:pPr>
              <w:pStyle w:val="22"/>
            </w:pPr>
            <w:r>
              <w:t>重要发现及相关研究成果向社会公布率</w:t>
            </w:r>
          </w:p>
        </w:tc>
        <w:tc>
          <w:tcPr>
            <w:tcW w:w="2654"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基建项目申报单位满意度 </w:t>
            </w:r>
          </w:p>
        </w:tc>
        <w:tc>
          <w:tcPr>
            <w:tcW w:w="2654" w:type="dxa"/>
            <w:vAlign w:val="center"/>
          </w:tcPr>
          <w:p>
            <w:pPr>
              <w:pStyle w:val="22"/>
            </w:pPr>
            <w:r>
              <w:t xml:space="preserve">基建项目申报单位满意度 </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0369"/>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.非财政拨款项目支出-人才培养经费绩效目标表</w:t>
      </w:r>
      <w:bookmarkEnd w:id="4"/>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19.60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“五个一批”人才经费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1.拟出版高质量学术研究专著，提高宣传文化高层次人才学术技术水平。</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出版图书数量</w:t>
            </w:r>
          </w:p>
        </w:tc>
        <w:tc>
          <w:tcPr>
            <w:tcW w:w="2654" w:type="dxa"/>
            <w:vAlign w:val="center"/>
          </w:tcPr>
          <w:p>
            <w:pPr>
              <w:pStyle w:val="22"/>
            </w:pPr>
            <w:r>
              <w:t>出版图书数量</w:t>
            </w:r>
          </w:p>
        </w:tc>
        <w:tc>
          <w:tcPr>
            <w:tcW w:w="2654" w:type="dxa"/>
            <w:vAlign w:val="center"/>
          </w:tcPr>
          <w:p>
            <w:pPr>
              <w:pStyle w:val="22"/>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出版图书错字率</w:t>
            </w:r>
          </w:p>
        </w:tc>
        <w:tc>
          <w:tcPr>
            <w:tcW w:w="2654" w:type="dxa"/>
            <w:vAlign w:val="center"/>
          </w:tcPr>
          <w:p>
            <w:pPr>
              <w:pStyle w:val="22"/>
            </w:pPr>
            <w:r>
              <w:t>出版图书错字率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书稿一校工作完成时间</w:t>
            </w:r>
          </w:p>
        </w:tc>
        <w:tc>
          <w:tcPr>
            <w:tcW w:w="2654" w:type="dxa"/>
            <w:vAlign w:val="center"/>
          </w:tcPr>
          <w:p>
            <w:pPr>
              <w:pStyle w:val="22"/>
            </w:pPr>
            <w:r>
              <w:t>书稿一校工作完成时间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人才培养支出经费</w:t>
            </w:r>
          </w:p>
        </w:tc>
        <w:tc>
          <w:tcPr>
            <w:tcW w:w="2654" w:type="dxa"/>
            <w:vAlign w:val="center"/>
          </w:tcPr>
          <w:p>
            <w:pPr>
              <w:pStyle w:val="22"/>
            </w:pPr>
            <w:r>
              <w:t>人才培养支出经费</w:t>
            </w:r>
          </w:p>
        </w:tc>
        <w:tc>
          <w:tcPr>
            <w:tcW w:w="2654" w:type="dxa"/>
            <w:vAlign w:val="center"/>
          </w:tcPr>
          <w:p>
            <w:pPr>
              <w:pStyle w:val="22"/>
            </w:pPr>
            <w:r>
              <w:t>≤19.6万元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提高宣传文化高层次人才学术技术水平</w:t>
            </w:r>
          </w:p>
        </w:tc>
        <w:tc>
          <w:tcPr>
            <w:tcW w:w="2654" w:type="dxa"/>
            <w:vAlign w:val="center"/>
          </w:tcPr>
          <w:p>
            <w:pPr>
              <w:pStyle w:val="22"/>
            </w:pPr>
            <w:r>
              <w:t>提高宣传文化高层次人才学术技术水平</w:t>
            </w:r>
          </w:p>
        </w:tc>
        <w:tc>
          <w:tcPr>
            <w:tcW w:w="2654" w:type="dxa"/>
            <w:vAlign w:val="center"/>
          </w:tcPr>
          <w:p>
            <w:pPr>
              <w:pStyle w:val="22"/>
            </w:pPr>
            <w:r>
              <w:t>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读者满意度</w:t>
            </w:r>
          </w:p>
        </w:tc>
        <w:tc>
          <w:tcPr>
            <w:tcW w:w="2654" w:type="dxa"/>
            <w:vAlign w:val="center"/>
          </w:tcPr>
          <w:p>
            <w:pPr>
              <w:pStyle w:val="22"/>
            </w:pPr>
            <w:r>
              <w:t>读者满意度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60370"/>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.非财政拨款项目支出-天津张湾明代沉船遗址考古资料整理与研究绩效目标表</w:t>
      </w:r>
      <w:bookmarkEnd w:id="5"/>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非财政拨款项目支出-天津张湾明代沉船遗址考古资料整理与研究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11.90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天津张湾明代沉船遗址考古资料整理与研究工作经费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国内沉船遗址考古发掘及综合研究提供重要实物材料和可供借鉴的新理念、新方法，为国内沉船遗址考古发掘报告的编写和综合研究提供可供参考的天津样本。对3艘明代沉船进行科学的年代甄别、系统测绘和复原研究，为中国内河造船史研究提供重要实物资料。以张湾沉船遗址和沉船为出发点，阐释天津运河沉船遗址、运河与运河聚落城市之间发展演变关系，从重要考古发现的视角考察天津运河城市。</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完成考古简报数量</w:t>
            </w:r>
          </w:p>
        </w:tc>
        <w:tc>
          <w:tcPr>
            <w:tcW w:w="2654" w:type="dxa"/>
            <w:vAlign w:val="center"/>
          </w:tcPr>
          <w:p>
            <w:pPr>
              <w:pStyle w:val="22"/>
            </w:pPr>
            <w:r>
              <w:t>完成考古简报数量</w:t>
            </w:r>
          </w:p>
        </w:tc>
        <w:tc>
          <w:tcPr>
            <w:tcW w:w="2654" w:type="dxa"/>
            <w:vAlign w:val="center"/>
          </w:tcPr>
          <w:p>
            <w:pPr>
              <w:pStyle w:val="2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专业人员核查基础资料遗漏率</w:t>
            </w:r>
          </w:p>
        </w:tc>
        <w:tc>
          <w:tcPr>
            <w:tcW w:w="2654" w:type="dxa"/>
            <w:vAlign w:val="center"/>
          </w:tcPr>
          <w:p>
            <w:pPr>
              <w:pStyle w:val="22"/>
            </w:pPr>
            <w:r>
              <w:t>专业人员核查基础资料遗漏率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天津张湾明代沉船遗址考古资料整理与研究完成时间</w:t>
            </w:r>
          </w:p>
        </w:tc>
        <w:tc>
          <w:tcPr>
            <w:tcW w:w="2654" w:type="dxa"/>
            <w:vAlign w:val="center"/>
          </w:tcPr>
          <w:p>
            <w:pPr>
              <w:pStyle w:val="22"/>
            </w:pPr>
            <w:r>
              <w:t>天津张湾明代沉船遗址考古资料整理与研究完成时间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国家社科基金经费</w:t>
            </w:r>
          </w:p>
        </w:tc>
        <w:tc>
          <w:tcPr>
            <w:tcW w:w="2654" w:type="dxa"/>
            <w:vAlign w:val="center"/>
          </w:tcPr>
          <w:p>
            <w:pPr>
              <w:pStyle w:val="22"/>
            </w:pPr>
            <w:r>
              <w:t>国家社科基金经费</w:t>
            </w:r>
          </w:p>
        </w:tc>
        <w:tc>
          <w:tcPr>
            <w:tcW w:w="2654" w:type="dxa"/>
            <w:vAlign w:val="center"/>
          </w:tcPr>
          <w:p>
            <w:pPr>
              <w:pStyle w:val="22"/>
            </w:pPr>
            <w:r>
              <w:t>≤11.9万元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重要发现及相关研究成果向社会公布率</w:t>
            </w:r>
          </w:p>
        </w:tc>
        <w:tc>
          <w:tcPr>
            <w:tcW w:w="2654" w:type="dxa"/>
            <w:vAlign w:val="center"/>
          </w:tcPr>
          <w:p>
            <w:pPr>
              <w:pStyle w:val="22"/>
            </w:pPr>
            <w:r>
              <w:t>重要发现及相关研究成果向社会公布率</w:t>
            </w:r>
          </w:p>
        </w:tc>
        <w:tc>
          <w:tcPr>
            <w:tcW w:w="2654"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项目申报单位满意度</w:t>
            </w:r>
          </w:p>
        </w:tc>
        <w:tc>
          <w:tcPr>
            <w:tcW w:w="2654" w:type="dxa"/>
            <w:vAlign w:val="center"/>
          </w:tcPr>
          <w:p>
            <w:pPr>
              <w:pStyle w:val="22"/>
            </w:pPr>
            <w:r>
              <w:t>项目申报单位满意度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60371"/>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.非财政拨款项目支出-文物进出境审核绩效目标表</w:t>
      </w:r>
      <w:bookmarkEnd w:id="6"/>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非财政拨款项目支出-文物进出境审核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27.60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27.60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文物进出境审核工作经费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1.受国家文物局委托，遵照国家各项法律法规规定，对天津口岸文物进出境进行审核及参加相关业务培训等。加强文物进出境管理,打击文物走私违法犯罪活动。</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文物进出境审核次数</w:t>
            </w:r>
          </w:p>
        </w:tc>
        <w:tc>
          <w:tcPr>
            <w:tcW w:w="2654" w:type="dxa"/>
            <w:vAlign w:val="center"/>
          </w:tcPr>
          <w:p>
            <w:pPr>
              <w:pStyle w:val="22"/>
            </w:pPr>
            <w:r>
              <w:t>文物进出境审核次数</w:t>
            </w:r>
          </w:p>
        </w:tc>
        <w:tc>
          <w:tcPr>
            <w:tcW w:w="2654"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进出境审核工作完成效率</w:t>
            </w:r>
          </w:p>
        </w:tc>
        <w:tc>
          <w:tcPr>
            <w:tcW w:w="2654" w:type="dxa"/>
            <w:vAlign w:val="center"/>
          </w:tcPr>
          <w:p>
            <w:pPr>
              <w:pStyle w:val="22"/>
            </w:pPr>
            <w:r>
              <w:t>进出境审核工作完成效率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参加人员资质达标率</w:t>
            </w:r>
          </w:p>
        </w:tc>
        <w:tc>
          <w:tcPr>
            <w:tcW w:w="2654" w:type="dxa"/>
            <w:vAlign w:val="center"/>
          </w:tcPr>
          <w:p>
            <w:pPr>
              <w:pStyle w:val="22"/>
            </w:pPr>
            <w:r>
              <w:t>参加人员资质达标率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工作完成时间</w:t>
            </w:r>
          </w:p>
        </w:tc>
        <w:tc>
          <w:tcPr>
            <w:tcW w:w="2654" w:type="dxa"/>
            <w:vAlign w:val="center"/>
          </w:tcPr>
          <w:p>
            <w:pPr>
              <w:pStyle w:val="22"/>
            </w:pPr>
            <w:r>
              <w:t>工作完成时间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单次审核工作完成时间</w:t>
            </w:r>
          </w:p>
        </w:tc>
        <w:tc>
          <w:tcPr>
            <w:tcW w:w="2654" w:type="dxa"/>
            <w:vAlign w:val="center"/>
          </w:tcPr>
          <w:p>
            <w:pPr>
              <w:pStyle w:val="22"/>
            </w:pPr>
            <w:r>
              <w:t>单次审核工作完成时间</w:t>
            </w:r>
          </w:p>
        </w:tc>
        <w:tc>
          <w:tcPr>
            <w:tcW w:w="2654" w:type="dxa"/>
            <w:vAlign w:val="center"/>
          </w:tcPr>
          <w:p>
            <w:pPr>
              <w:pStyle w:val="22"/>
            </w:pPr>
            <w:r>
              <w:t>≤15天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文物进出境审核工作经费</w:t>
            </w:r>
          </w:p>
        </w:tc>
        <w:tc>
          <w:tcPr>
            <w:tcW w:w="2654" w:type="dxa"/>
            <w:vAlign w:val="center"/>
          </w:tcPr>
          <w:p>
            <w:pPr>
              <w:pStyle w:val="22"/>
            </w:pPr>
            <w:r>
              <w:t>文物进出境审核工作经费</w:t>
            </w:r>
          </w:p>
        </w:tc>
        <w:tc>
          <w:tcPr>
            <w:tcW w:w="2654" w:type="dxa"/>
            <w:vAlign w:val="center"/>
          </w:tcPr>
          <w:p>
            <w:pPr>
              <w:pStyle w:val="22"/>
            </w:pPr>
            <w:r>
              <w:t>≤27.6万元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加强文物进出境管理,打击文物走私违法犯罪活动</w:t>
            </w:r>
          </w:p>
        </w:tc>
        <w:tc>
          <w:tcPr>
            <w:tcW w:w="2654" w:type="dxa"/>
            <w:vAlign w:val="center"/>
          </w:tcPr>
          <w:p>
            <w:pPr>
              <w:pStyle w:val="22"/>
            </w:pPr>
            <w:r>
              <w:t>加强文物进出境管理,打击文物走私违法犯罪活动</w:t>
            </w:r>
          </w:p>
        </w:tc>
        <w:tc>
          <w:tcPr>
            <w:tcW w:w="2654" w:type="dxa"/>
            <w:vAlign w:val="center"/>
          </w:tcPr>
          <w:p>
            <w:pPr>
              <w:pStyle w:val="22"/>
            </w:pPr>
            <w:r>
              <w:t>进一步加强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申请人满意度</w:t>
            </w:r>
          </w:p>
        </w:tc>
        <w:tc>
          <w:tcPr>
            <w:tcW w:w="2654" w:type="dxa"/>
            <w:vAlign w:val="center"/>
          </w:tcPr>
          <w:p>
            <w:pPr>
              <w:pStyle w:val="22"/>
            </w:pPr>
            <w:r>
              <w:t>申请人满意度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60372"/>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.天津市蓟州区青池遗址考古发掘项目（2023年国家文物保护专项资金第二批）-中央绩效目标表</w:t>
      </w:r>
      <w:bookmarkEnd w:id="7"/>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天津市蓟州区青池遗址考古发掘项目（2023年国家文物保护专项资金第二批）-中央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60.38</w:t>
            </w:r>
          </w:p>
        </w:tc>
        <w:tc>
          <w:tcPr>
            <w:tcW w:w="1327" w:type="dxa"/>
            <w:vAlign w:val="center"/>
          </w:tcPr>
          <w:p>
            <w:pPr>
              <w:pStyle w:val="23"/>
            </w:pPr>
            <w:r>
              <w:t>其中：财政    资金</w:t>
            </w:r>
          </w:p>
        </w:tc>
        <w:tc>
          <w:tcPr>
            <w:tcW w:w="1327" w:type="dxa"/>
            <w:vAlign w:val="center"/>
          </w:tcPr>
          <w:p>
            <w:pPr>
              <w:pStyle w:val="22"/>
            </w:pPr>
            <w:r>
              <w:t>60.38</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蓟州区青池遗址考古发掘工作经费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1.发掘清理青池遗址出土的动物化石及石制品，揭露晚更新世末至全新世早期环渤海地区古环境及古人类适应生存方式。探索该地区古人类的迁徙与扩散。</w:t>
            </w:r>
          </w:p>
          <w:p>
            <w:pPr>
              <w:pStyle w:val="22"/>
            </w:pPr>
            <w:r>
              <w:t>2.建立天津蓟州地区乃至环渤海地区旧石器晚期至新石器时代早期遗址的年代学框架。</w:t>
            </w:r>
          </w:p>
          <w:p>
            <w:pPr>
              <w:pStyle w:val="22"/>
            </w:pPr>
            <w:r>
              <w:t>3.获取发掘地层中环境样品，年代学样品，土壤岩性样品。</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考古调查面积</w:t>
            </w:r>
          </w:p>
        </w:tc>
        <w:tc>
          <w:tcPr>
            <w:tcW w:w="2654" w:type="dxa"/>
            <w:vAlign w:val="center"/>
          </w:tcPr>
          <w:p>
            <w:pPr>
              <w:pStyle w:val="22"/>
            </w:pPr>
            <w:r>
              <w:t>考古调查面积</w:t>
            </w:r>
          </w:p>
        </w:tc>
        <w:tc>
          <w:tcPr>
            <w:tcW w:w="2654" w:type="dxa"/>
            <w:vAlign w:val="center"/>
          </w:tcPr>
          <w:p>
            <w:pPr>
              <w:pStyle w:val="22"/>
            </w:pPr>
            <w:r>
              <w:t>≤100平方公里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考古勘探面积</w:t>
            </w:r>
          </w:p>
        </w:tc>
        <w:tc>
          <w:tcPr>
            <w:tcW w:w="2654" w:type="dxa"/>
            <w:vAlign w:val="center"/>
          </w:tcPr>
          <w:p>
            <w:pPr>
              <w:pStyle w:val="22"/>
            </w:pPr>
            <w:r>
              <w:t>考古勘探面积</w:t>
            </w:r>
          </w:p>
        </w:tc>
        <w:tc>
          <w:tcPr>
            <w:tcW w:w="2654" w:type="dxa"/>
            <w:vAlign w:val="center"/>
          </w:tcPr>
          <w:p>
            <w:pPr>
              <w:pStyle w:val="22"/>
            </w:pPr>
            <w:r>
              <w:t>≤0.1平方公里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考古发掘面积</w:t>
            </w:r>
          </w:p>
        </w:tc>
        <w:tc>
          <w:tcPr>
            <w:tcW w:w="2654" w:type="dxa"/>
            <w:vAlign w:val="center"/>
          </w:tcPr>
          <w:p>
            <w:pPr>
              <w:pStyle w:val="22"/>
            </w:pPr>
            <w:r>
              <w:t>考古发掘面积</w:t>
            </w:r>
          </w:p>
        </w:tc>
        <w:tc>
          <w:tcPr>
            <w:tcW w:w="2654" w:type="dxa"/>
            <w:vAlign w:val="center"/>
          </w:tcPr>
          <w:p>
            <w:pPr>
              <w:pStyle w:val="22"/>
            </w:pPr>
            <w:r>
              <w:t>≤200平方米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区域系统考古调查工作完成合规率</w:t>
            </w:r>
          </w:p>
        </w:tc>
        <w:tc>
          <w:tcPr>
            <w:tcW w:w="2654" w:type="dxa"/>
            <w:vAlign w:val="center"/>
          </w:tcPr>
          <w:p>
            <w:pPr>
              <w:pStyle w:val="22"/>
            </w:pPr>
            <w:r>
              <w:t>区域系统考古调查工作完成合规率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测绘、勘探与三维影像采集达标率</w:t>
            </w:r>
          </w:p>
        </w:tc>
        <w:tc>
          <w:tcPr>
            <w:tcW w:w="2654" w:type="dxa"/>
            <w:vAlign w:val="center"/>
          </w:tcPr>
          <w:p>
            <w:pPr>
              <w:pStyle w:val="22"/>
            </w:pPr>
            <w:r>
              <w:t>测绘、勘探与三维影像采集达标率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考古发掘工作完成合规率</w:t>
            </w:r>
          </w:p>
        </w:tc>
        <w:tc>
          <w:tcPr>
            <w:tcW w:w="2654" w:type="dxa"/>
            <w:vAlign w:val="center"/>
          </w:tcPr>
          <w:p>
            <w:pPr>
              <w:pStyle w:val="22"/>
            </w:pPr>
            <w:r>
              <w:t>考古发掘工作完成合规率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完成考古调查时限</w:t>
            </w:r>
          </w:p>
        </w:tc>
        <w:tc>
          <w:tcPr>
            <w:tcW w:w="2654" w:type="dxa"/>
            <w:vAlign w:val="center"/>
          </w:tcPr>
          <w:p>
            <w:pPr>
              <w:pStyle w:val="22"/>
            </w:pPr>
            <w:r>
              <w:t>完成考古调查时限</w:t>
            </w:r>
          </w:p>
        </w:tc>
        <w:tc>
          <w:tcPr>
            <w:tcW w:w="2654" w:type="dxa"/>
            <w:vAlign w:val="center"/>
          </w:tcPr>
          <w:p>
            <w:pPr>
              <w:pStyle w:val="22"/>
            </w:pPr>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完成考古勘探时限</w:t>
            </w:r>
          </w:p>
        </w:tc>
        <w:tc>
          <w:tcPr>
            <w:tcW w:w="2654" w:type="dxa"/>
            <w:vAlign w:val="center"/>
          </w:tcPr>
          <w:p>
            <w:pPr>
              <w:pStyle w:val="22"/>
            </w:pPr>
            <w:r>
              <w:t>完成考古勘探时限</w:t>
            </w:r>
          </w:p>
        </w:tc>
        <w:tc>
          <w:tcPr>
            <w:tcW w:w="2654" w:type="dxa"/>
            <w:vAlign w:val="center"/>
          </w:tcPr>
          <w:p>
            <w:pPr>
              <w:pStyle w:val="22"/>
            </w:pPr>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完成考古发掘时限</w:t>
            </w:r>
          </w:p>
        </w:tc>
        <w:tc>
          <w:tcPr>
            <w:tcW w:w="2654" w:type="dxa"/>
            <w:vAlign w:val="center"/>
          </w:tcPr>
          <w:p>
            <w:pPr>
              <w:pStyle w:val="22"/>
            </w:pPr>
            <w:r>
              <w:t>完成考古发掘时限</w:t>
            </w:r>
          </w:p>
        </w:tc>
        <w:tc>
          <w:tcPr>
            <w:tcW w:w="2654" w:type="dxa"/>
            <w:vAlign w:val="center"/>
          </w:tcPr>
          <w:p>
            <w:pPr>
              <w:pStyle w:val="22"/>
            </w:pPr>
            <w:r>
              <w:t>≤4个月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完成三维影像采集时限</w:t>
            </w:r>
          </w:p>
        </w:tc>
        <w:tc>
          <w:tcPr>
            <w:tcW w:w="2654" w:type="dxa"/>
            <w:vAlign w:val="center"/>
          </w:tcPr>
          <w:p>
            <w:pPr>
              <w:pStyle w:val="22"/>
            </w:pPr>
            <w:r>
              <w:t>完成三维影像采集时限</w:t>
            </w:r>
          </w:p>
        </w:tc>
        <w:tc>
          <w:tcPr>
            <w:tcW w:w="2654" w:type="dxa"/>
            <w:vAlign w:val="center"/>
          </w:tcPr>
          <w:p>
            <w:pPr>
              <w:pStyle w:val="22"/>
            </w:pPr>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天津市蓟州区青池遗址考古发掘工作经费</w:t>
            </w:r>
          </w:p>
        </w:tc>
        <w:tc>
          <w:tcPr>
            <w:tcW w:w="2654" w:type="dxa"/>
            <w:vAlign w:val="center"/>
          </w:tcPr>
          <w:p>
            <w:pPr>
              <w:pStyle w:val="22"/>
            </w:pPr>
            <w:r>
              <w:t>天津市蓟州区青池遗址考古发掘工作经费</w:t>
            </w:r>
          </w:p>
        </w:tc>
        <w:tc>
          <w:tcPr>
            <w:tcW w:w="2654" w:type="dxa"/>
            <w:vAlign w:val="center"/>
          </w:tcPr>
          <w:p>
            <w:pPr>
              <w:pStyle w:val="22"/>
            </w:pPr>
            <w:r>
              <w:t>≤60.4万元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增强公众文物保护意识</w:t>
            </w:r>
          </w:p>
        </w:tc>
        <w:tc>
          <w:tcPr>
            <w:tcW w:w="2654" w:type="dxa"/>
            <w:vAlign w:val="center"/>
          </w:tcPr>
          <w:p>
            <w:pPr>
              <w:pStyle w:val="22"/>
            </w:pPr>
            <w:r>
              <w:t>增强公众文物保护意识</w:t>
            </w:r>
          </w:p>
        </w:tc>
        <w:tc>
          <w:tcPr>
            <w:tcW w:w="2654" w:type="dxa"/>
            <w:vAlign w:val="center"/>
          </w:tcPr>
          <w:p>
            <w:pPr>
              <w:pStyle w:val="22"/>
            </w:pPr>
            <w:r>
              <w:t>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为环渤海地区旧新石器时代过渡遗存的研究提供可靠的实物资料</w:t>
            </w:r>
          </w:p>
        </w:tc>
        <w:tc>
          <w:tcPr>
            <w:tcW w:w="2654" w:type="dxa"/>
            <w:vAlign w:val="center"/>
          </w:tcPr>
          <w:p>
            <w:pPr>
              <w:pStyle w:val="22"/>
            </w:pPr>
            <w:r>
              <w:t>为环渤海地区旧新石器时代过渡遗存的研究提供可靠的实物资料</w:t>
            </w:r>
          </w:p>
        </w:tc>
        <w:tc>
          <w:tcPr>
            <w:tcW w:w="2654" w:type="dxa"/>
            <w:vAlign w:val="center"/>
          </w:tcPr>
          <w:p>
            <w:pPr>
              <w:pStyle w:val="22"/>
            </w:pPr>
            <w:r>
              <w:t>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建立健全考古工作保障机制</w:t>
            </w:r>
          </w:p>
        </w:tc>
        <w:tc>
          <w:tcPr>
            <w:tcW w:w="2654" w:type="dxa"/>
            <w:vAlign w:val="center"/>
          </w:tcPr>
          <w:p>
            <w:pPr>
              <w:pStyle w:val="22"/>
            </w:pPr>
            <w:r>
              <w:t>建立健全考古工作保障机制</w:t>
            </w:r>
          </w:p>
        </w:tc>
        <w:tc>
          <w:tcPr>
            <w:tcW w:w="2654" w:type="dxa"/>
            <w:vAlign w:val="center"/>
          </w:tcPr>
          <w:p>
            <w:pPr>
              <w:pStyle w:val="22"/>
            </w:pPr>
            <w:r>
              <w:t>建立健全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社会公众满意度</w:t>
            </w:r>
          </w:p>
        </w:tc>
        <w:tc>
          <w:tcPr>
            <w:tcW w:w="2654" w:type="dxa"/>
            <w:vAlign w:val="center"/>
          </w:tcPr>
          <w:p>
            <w:pPr>
              <w:pStyle w:val="22"/>
            </w:pPr>
            <w:r>
              <w:t>社会公众满意度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60373"/>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.天津市文物保护项目咨询论证绩效目标表</w:t>
      </w:r>
      <w:bookmarkEnd w:id="8"/>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天津市文物保护项目咨询论证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13.00</w:t>
            </w:r>
          </w:p>
        </w:tc>
        <w:tc>
          <w:tcPr>
            <w:tcW w:w="1327" w:type="dxa"/>
            <w:vAlign w:val="center"/>
          </w:tcPr>
          <w:p>
            <w:pPr>
              <w:pStyle w:val="23"/>
            </w:pPr>
            <w:r>
              <w:t>其中：财政    资金</w:t>
            </w:r>
          </w:p>
        </w:tc>
        <w:tc>
          <w:tcPr>
            <w:tcW w:w="1327" w:type="dxa"/>
            <w:vAlign w:val="center"/>
          </w:tcPr>
          <w:p>
            <w:pPr>
              <w:pStyle w:val="22"/>
            </w:pPr>
            <w:r>
              <w:t>13.00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文物保护项目咨询论证工作经费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各项文物保护工程项目及各项文物保护单位建设控制地带内文物影响评估报告的评估论证，完成天津市市级以上文物保护单位违法案件的鉴定评估，为行政审批提供专业支撑，有效保护文物保护单位的安全及周边环境协调性。完成天津市文物局委托的各项可以动文物保护项目的评审验收。</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每次聘请专家数量</w:t>
            </w:r>
          </w:p>
        </w:tc>
        <w:tc>
          <w:tcPr>
            <w:tcW w:w="2654" w:type="dxa"/>
            <w:vAlign w:val="center"/>
          </w:tcPr>
          <w:p>
            <w:pPr>
              <w:pStyle w:val="22"/>
            </w:pPr>
            <w:r>
              <w:t>每次聘请专家数量</w:t>
            </w:r>
          </w:p>
        </w:tc>
        <w:tc>
          <w:tcPr>
            <w:tcW w:w="2654"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评估方案数量</w:t>
            </w:r>
          </w:p>
        </w:tc>
        <w:tc>
          <w:tcPr>
            <w:tcW w:w="2654" w:type="dxa"/>
            <w:vAlign w:val="center"/>
          </w:tcPr>
          <w:p>
            <w:pPr>
              <w:pStyle w:val="22"/>
            </w:pPr>
            <w:r>
              <w:t>评估方案数量</w:t>
            </w:r>
          </w:p>
        </w:tc>
        <w:tc>
          <w:tcPr>
            <w:tcW w:w="2654" w:type="dxa"/>
            <w:vAlign w:val="center"/>
          </w:tcPr>
          <w:p>
            <w:pPr>
              <w:pStyle w:val="2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方案评估完成率</w:t>
            </w:r>
          </w:p>
        </w:tc>
        <w:tc>
          <w:tcPr>
            <w:tcW w:w="2654" w:type="dxa"/>
            <w:vAlign w:val="center"/>
          </w:tcPr>
          <w:p>
            <w:pPr>
              <w:pStyle w:val="22"/>
            </w:pPr>
            <w:r>
              <w:t>方案评估完成率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评估完成时间（不包含现场踏勘时间）</w:t>
            </w:r>
          </w:p>
        </w:tc>
        <w:tc>
          <w:tcPr>
            <w:tcW w:w="2654" w:type="dxa"/>
            <w:vAlign w:val="center"/>
          </w:tcPr>
          <w:p>
            <w:pPr>
              <w:pStyle w:val="22"/>
            </w:pPr>
            <w:r>
              <w:t>评估完成时间（不包含现场踏勘时间）</w:t>
            </w:r>
          </w:p>
        </w:tc>
        <w:tc>
          <w:tcPr>
            <w:tcW w:w="2654" w:type="dxa"/>
            <w:vAlign w:val="center"/>
          </w:tcPr>
          <w:p>
            <w:pPr>
              <w:pStyle w:val="22"/>
            </w:pPr>
            <w:r>
              <w:t>≤60天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论证支出费用</w:t>
            </w:r>
          </w:p>
        </w:tc>
        <w:tc>
          <w:tcPr>
            <w:tcW w:w="2654" w:type="dxa"/>
            <w:vAlign w:val="center"/>
          </w:tcPr>
          <w:p>
            <w:pPr>
              <w:pStyle w:val="22"/>
            </w:pPr>
            <w:r>
              <w:t>论证支出费用</w:t>
            </w:r>
          </w:p>
        </w:tc>
        <w:tc>
          <w:tcPr>
            <w:tcW w:w="2654" w:type="dxa"/>
            <w:vAlign w:val="center"/>
          </w:tcPr>
          <w:p>
            <w:pPr>
              <w:pStyle w:val="2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专家评审费用标准</w:t>
            </w:r>
          </w:p>
        </w:tc>
        <w:tc>
          <w:tcPr>
            <w:tcW w:w="2654" w:type="dxa"/>
            <w:vAlign w:val="center"/>
          </w:tcPr>
          <w:p>
            <w:pPr>
              <w:pStyle w:val="22"/>
            </w:pPr>
            <w:r>
              <w:t>专家评审费用标准</w:t>
            </w:r>
          </w:p>
        </w:tc>
        <w:tc>
          <w:tcPr>
            <w:tcW w:w="2654" w:type="dxa"/>
            <w:vAlign w:val="center"/>
          </w:tcPr>
          <w:p>
            <w:pPr>
              <w:pStyle w:val="22"/>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提升文物本体及区划内历史环境保护水平</w:t>
            </w:r>
          </w:p>
        </w:tc>
        <w:tc>
          <w:tcPr>
            <w:tcW w:w="2654" w:type="dxa"/>
            <w:vAlign w:val="center"/>
          </w:tcPr>
          <w:p>
            <w:pPr>
              <w:pStyle w:val="22"/>
            </w:pPr>
            <w:r>
              <w:t>提升文物本体及区划内历史环境保护水平</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方案委托方满意度</w:t>
            </w:r>
          </w:p>
        </w:tc>
        <w:tc>
          <w:tcPr>
            <w:tcW w:w="2654" w:type="dxa"/>
            <w:vAlign w:val="center"/>
          </w:tcPr>
          <w:p>
            <w:pPr>
              <w:pStyle w:val="22"/>
            </w:pPr>
            <w:r>
              <w:t>方案委托方满意度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60374"/>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.文物保护工程资质管理绩效目标表</w:t>
      </w:r>
      <w:bookmarkEnd w:id="9"/>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文物保护工程资质管理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8.00</w:t>
            </w:r>
          </w:p>
        </w:tc>
        <w:tc>
          <w:tcPr>
            <w:tcW w:w="1327" w:type="dxa"/>
            <w:vAlign w:val="center"/>
          </w:tcPr>
          <w:p>
            <w:pPr>
              <w:pStyle w:val="23"/>
            </w:pPr>
            <w:r>
              <w:t>其中：财政    资金</w:t>
            </w:r>
          </w:p>
        </w:tc>
        <w:tc>
          <w:tcPr>
            <w:tcW w:w="1327" w:type="dxa"/>
            <w:vAlign w:val="center"/>
          </w:tcPr>
          <w:p>
            <w:pPr>
              <w:pStyle w:val="22"/>
            </w:pPr>
            <w:r>
              <w:t>8.00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文物保护工程资质管理工作经费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按照相关法律法规规定，完成天津市申领文物保护工程资质单位的审核工作；按照相关法律法规规定，完成天津市各资质单位专业技术人员的继续教育工作；按照相关法律法规规定，完成天津市各资质单位的年检工作。提高文物保护工程资质单位业务水平。</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参加培训人数</w:t>
            </w:r>
          </w:p>
        </w:tc>
        <w:tc>
          <w:tcPr>
            <w:tcW w:w="2654" w:type="dxa"/>
            <w:vAlign w:val="center"/>
          </w:tcPr>
          <w:p>
            <w:pPr>
              <w:pStyle w:val="22"/>
            </w:pPr>
            <w:r>
              <w:t>参加培训人数</w:t>
            </w:r>
          </w:p>
        </w:tc>
        <w:tc>
          <w:tcPr>
            <w:tcW w:w="2654" w:type="dxa"/>
            <w:vAlign w:val="center"/>
          </w:tcPr>
          <w:p>
            <w:pPr>
              <w:pStyle w:val="2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培训合格率</w:t>
            </w:r>
          </w:p>
        </w:tc>
        <w:tc>
          <w:tcPr>
            <w:tcW w:w="2654" w:type="dxa"/>
            <w:vAlign w:val="center"/>
          </w:tcPr>
          <w:p>
            <w:pPr>
              <w:pStyle w:val="22"/>
            </w:pPr>
            <w:r>
              <w:t>培训合格率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培训完成时间</w:t>
            </w:r>
          </w:p>
        </w:tc>
        <w:tc>
          <w:tcPr>
            <w:tcW w:w="2654" w:type="dxa"/>
            <w:vAlign w:val="center"/>
          </w:tcPr>
          <w:p>
            <w:pPr>
              <w:pStyle w:val="22"/>
            </w:pPr>
            <w:r>
              <w:t>培训完成时间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培训天数</w:t>
            </w:r>
          </w:p>
        </w:tc>
        <w:tc>
          <w:tcPr>
            <w:tcW w:w="2654" w:type="dxa"/>
            <w:vAlign w:val="center"/>
          </w:tcPr>
          <w:p>
            <w:pPr>
              <w:pStyle w:val="22"/>
            </w:pPr>
            <w:r>
              <w:t>培训天数</w:t>
            </w:r>
          </w:p>
        </w:tc>
        <w:tc>
          <w:tcPr>
            <w:tcW w:w="2654" w:type="dxa"/>
            <w:vAlign w:val="center"/>
          </w:tcPr>
          <w:p>
            <w:pPr>
              <w:pStyle w:val="22"/>
            </w:pPr>
            <w:r>
              <w:t>4天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完成各项管理工作所需费用</w:t>
            </w:r>
          </w:p>
        </w:tc>
        <w:tc>
          <w:tcPr>
            <w:tcW w:w="2654" w:type="dxa"/>
            <w:vAlign w:val="center"/>
          </w:tcPr>
          <w:p>
            <w:pPr>
              <w:pStyle w:val="22"/>
            </w:pPr>
            <w:r>
              <w:t>完成各项管理工作所需费用</w:t>
            </w:r>
          </w:p>
        </w:tc>
        <w:tc>
          <w:tcPr>
            <w:tcW w:w="2654" w:type="dxa"/>
            <w:vAlign w:val="center"/>
          </w:tcPr>
          <w:p>
            <w:pPr>
              <w:pStyle w:val="2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提高文物保护与利用的合理合法性</w:t>
            </w:r>
          </w:p>
        </w:tc>
        <w:tc>
          <w:tcPr>
            <w:tcW w:w="2654" w:type="dxa"/>
            <w:vAlign w:val="center"/>
          </w:tcPr>
          <w:p>
            <w:pPr>
              <w:pStyle w:val="22"/>
            </w:pPr>
            <w:r>
              <w:t>提高文物保护与利用的合理合法性</w:t>
            </w:r>
          </w:p>
        </w:tc>
        <w:tc>
          <w:tcPr>
            <w:tcW w:w="2654"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参训人员满意度</w:t>
            </w:r>
          </w:p>
        </w:tc>
        <w:tc>
          <w:tcPr>
            <w:tcW w:w="2654" w:type="dxa"/>
            <w:vAlign w:val="center"/>
          </w:tcPr>
          <w:p>
            <w:pPr>
              <w:pStyle w:val="22"/>
            </w:pPr>
            <w:r>
              <w:t>参训人员满意度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60375"/>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.文物鉴定评估工作经费绩效目标表</w:t>
      </w:r>
      <w:bookmarkEnd w:id="10"/>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文物鉴定评估工作经费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5.00</w:t>
            </w:r>
          </w:p>
        </w:tc>
        <w:tc>
          <w:tcPr>
            <w:tcW w:w="1327" w:type="dxa"/>
            <w:vAlign w:val="center"/>
          </w:tcPr>
          <w:p>
            <w:pPr>
              <w:pStyle w:val="23"/>
            </w:pPr>
            <w:r>
              <w:t>其中：财政    资金</w:t>
            </w:r>
          </w:p>
        </w:tc>
        <w:tc>
          <w:tcPr>
            <w:tcW w:w="1327" w:type="dxa"/>
            <w:vAlign w:val="center"/>
          </w:tcPr>
          <w:p>
            <w:pPr>
              <w:pStyle w:val="22"/>
            </w:pPr>
            <w:r>
              <w:t>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文物鉴定评估工作经费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1.依据法律法规完成文物鉴定评估(文物拍卖标的审核鉴定、涉案文物鉴定等)工作。为相关行政审核工作提供专业参考依据,规范文物流通秩序,加强管理,打击文物违法犯罪活动。</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鉴定评估工作次数</w:t>
            </w:r>
          </w:p>
        </w:tc>
        <w:tc>
          <w:tcPr>
            <w:tcW w:w="2654" w:type="dxa"/>
            <w:vAlign w:val="center"/>
          </w:tcPr>
          <w:p>
            <w:pPr>
              <w:pStyle w:val="22"/>
            </w:pPr>
            <w:r>
              <w:t>鉴定评估工作次数</w:t>
            </w:r>
          </w:p>
        </w:tc>
        <w:tc>
          <w:tcPr>
            <w:tcW w:w="2654" w:type="dxa"/>
            <w:vAlign w:val="center"/>
          </w:tcPr>
          <w:p>
            <w:pPr>
              <w:pStyle w:val="22"/>
            </w:pPr>
            <w:r>
              <w:t>≥18次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每次聘请专家人数</w:t>
            </w:r>
          </w:p>
        </w:tc>
        <w:tc>
          <w:tcPr>
            <w:tcW w:w="2654" w:type="dxa"/>
            <w:vAlign w:val="center"/>
          </w:tcPr>
          <w:p>
            <w:pPr>
              <w:pStyle w:val="22"/>
            </w:pPr>
            <w:r>
              <w:t>每次聘请专家人数</w:t>
            </w:r>
          </w:p>
        </w:tc>
        <w:tc>
          <w:tcPr>
            <w:tcW w:w="2654" w:type="dxa"/>
            <w:vAlign w:val="center"/>
          </w:tcPr>
          <w:p>
            <w:pPr>
              <w:pStyle w:val="22"/>
            </w:pPr>
            <w:r>
              <w:t>3人/次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鉴定工作完成率</w:t>
            </w:r>
          </w:p>
        </w:tc>
        <w:tc>
          <w:tcPr>
            <w:tcW w:w="2654" w:type="dxa"/>
            <w:vAlign w:val="center"/>
          </w:tcPr>
          <w:p>
            <w:pPr>
              <w:pStyle w:val="22"/>
            </w:pPr>
            <w:r>
              <w:t>鉴定工作完成率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聘请专家资质达标率</w:t>
            </w:r>
          </w:p>
        </w:tc>
        <w:tc>
          <w:tcPr>
            <w:tcW w:w="2654" w:type="dxa"/>
            <w:vAlign w:val="center"/>
          </w:tcPr>
          <w:p>
            <w:pPr>
              <w:pStyle w:val="22"/>
            </w:pPr>
            <w:r>
              <w:t>聘请专家资质达标率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鉴定评估工作完成时间</w:t>
            </w:r>
          </w:p>
        </w:tc>
        <w:tc>
          <w:tcPr>
            <w:tcW w:w="2654" w:type="dxa"/>
            <w:vAlign w:val="center"/>
          </w:tcPr>
          <w:p>
            <w:pPr>
              <w:pStyle w:val="22"/>
            </w:pPr>
            <w:r>
              <w:t>鉴定评估工作完成时间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鉴定经费</w:t>
            </w:r>
          </w:p>
        </w:tc>
        <w:tc>
          <w:tcPr>
            <w:tcW w:w="2654" w:type="dxa"/>
            <w:vAlign w:val="center"/>
          </w:tcPr>
          <w:p>
            <w:pPr>
              <w:pStyle w:val="22"/>
            </w:pPr>
            <w:r>
              <w:t>鉴定经费</w:t>
            </w:r>
          </w:p>
        </w:tc>
        <w:tc>
          <w:tcPr>
            <w:tcW w:w="2654"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专家鉴定评估标准费</w:t>
            </w:r>
          </w:p>
        </w:tc>
        <w:tc>
          <w:tcPr>
            <w:tcW w:w="2654" w:type="dxa"/>
            <w:vAlign w:val="center"/>
          </w:tcPr>
          <w:p>
            <w:pPr>
              <w:pStyle w:val="22"/>
            </w:pPr>
            <w:r>
              <w:t>专家鉴定评估标准费</w:t>
            </w:r>
          </w:p>
        </w:tc>
        <w:tc>
          <w:tcPr>
            <w:tcW w:w="2654" w:type="dxa"/>
            <w:vAlign w:val="center"/>
          </w:tcPr>
          <w:p>
            <w:pPr>
              <w:pStyle w:val="22"/>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为相关行政审核工作提供专业参考依据</w:t>
            </w:r>
          </w:p>
        </w:tc>
        <w:tc>
          <w:tcPr>
            <w:tcW w:w="2654" w:type="dxa"/>
            <w:vAlign w:val="center"/>
          </w:tcPr>
          <w:p>
            <w:pPr>
              <w:pStyle w:val="22"/>
            </w:pPr>
            <w:r>
              <w:t>为相关行政审核工作提供专业参考依据</w:t>
            </w:r>
          </w:p>
        </w:tc>
        <w:tc>
          <w:tcPr>
            <w:tcW w:w="2654" w:type="dxa"/>
            <w:vAlign w:val="center"/>
          </w:tcPr>
          <w:p>
            <w:pPr>
              <w:pStyle w:val="22"/>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申报人员满意度</w:t>
            </w:r>
          </w:p>
        </w:tc>
        <w:tc>
          <w:tcPr>
            <w:tcW w:w="2654" w:type="dxa"/>
            <w:vAlign w:val="center"/>
          </w:tcPr>
          <w:p>
            <w:pPr>
              <w:pStyle w:val="22"/>
            </w:pPr>
            <w:r>
              <w:t>申报人员满意度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60376"/>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.文物认定及定级工作经费绩效目标表</w:t>
      </w:r>
      <w:bookmarkEnd w:id="11"/>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文物认定及定级工作经费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5.00</w:t>
            </w:r>
          </w:p>
        </w:tc>
        <w:tc>
          <w:tcPr>
            <w:tcW w:w="1327" w:type="dxa"/>
            <w:vAlign w:val="center"/>
          </w:tcPr>
          <w:p>
            <w:pPr>
              <w:pStyle w:val="23"/>
            </w:pPr>
            <w:r>
              <w:t>其中：财政    资金</w:t>
            </w:r>
          </w:p>
        </w:tc>
        <w:tc>
          <w:tcPr>
            <w:tcW w:w="1327" w:type="dxa"/>
            <w:vAlign w:val="center"/>
          </w:tcPr>
          <w:p>
            <w:pPr>
              <w:pStyle w:val="22"/>
            </w:pPr>
            <w:r>
              <w:t>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文物认定及定级工作经费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1.组织专家按时完成申报的馆藏文物定级及文物收藏单位藏品鉴定的工作。充分挖掘文物潜在的价值，加强文物保护与利用。</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 xml:space="preserve">馆藏文物定级及文物收藏单位藏品鉴定的次数 </w:t>
            </w:r>
          </w:p>
        </w:tc>
        <w:tc>
          <w:tcPr>
            <w:tcW w:w="2654" w:type="dxa"/>
            <w:vAlign w:val="center"/>
          </w:tcPr>
          <w:p>
            <w:pPr>
              <w:pStyle w:val="22"/>
            </w:pPr>
            <w:r>
              <w:t xml:space="preserve">馆藏文物定级及文物收藏单位藏品鉴定的次数 </w:t>
            </w:r>
          </w:p>
        </w:tc>
        <w:tc>
          <w:tcPr>
            <w:tcW w:w="2654" w:type="dxa"/>
            <w:vAlign w:val="center"/>
          </w:tcPr>
          <w:p>
            <w:pPr>
              <w:pStyle w:val="2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每次聘请专家数量</w:t>
            </w:r>
          </w:p>
        </w:tc>
        <w:tc>
          <w:tcPr>
            <w:tcW w:w="2654" w:type="dxa"/>
            <w:vAlign w:val="center"/>
          </w:tcPr>
          <w:p>
            <w:pPr>
              <w:pStyle w:val="22"/>
            </w:pPr>
            <w:r>
              <w:t>每次聘请专家数量</w:t>
            </w:r>
          </w:p>
        </w:tc>
        <w:tc>
          <w:tcPr>
            <w:tcW w:w="2654"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定级工作完成率</w:t>
            </w:r>
          </w:p>
        </w:tc>
        <w:tc>
          <w:tcPr>
            <w:tcW w:w="2654" w:type="dxa"/>
            <w:vAlign w:val="center"/>
          </w:tcPr>
          <w:p>
            <w:pPr>
              <w:pStyle w:val="22"/>
            </w:pPr>
            <w:r>
              <w:t>定级工作完成率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聘请专家资质达标率</w:t>
            </w:r>
          </w:p>
        </w:tc>
        <w:tc>
          <w:tcPr>
            <w:tcW w:w="2654" w:type="dxa"/>
            <w:vAlign w:val="center"/>
          </w:tcPr>
          <w:p>
            <w:pPr>
              <w:pStyle w:val="22"/>
            </w:pPr>
            <w:r>
              <w:t>聘请专家资质达标率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定级工作完成时间</w:t>
            </w:r>
          </w:p>
        </w:tc>
        <w:tc>
          <w:tcPr>
            <w:tcW w:w="2654" w:type="dxa"/>
            <w:vAlign w:val="center"/>
          </w:tcPr>
          <w:p>
            <w:pPr>
              <w:pStyle w:val="22"/>
            </w:pPr>
            <w:r>
              <w:t>定级工作完成时间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定级工作完成所需费用</w:t>
            </w:r>
          </w:p>
        </w:tc>
        <w:tc>
          <w:tcPr>
            <w:tcW w:w="2654" w:type="dxa"/>
            <w:vAlign w:val="center"/>
          </w:tcPr>
          <w:p>
            <w:pPr>
              <w:pStyle w:val="22"/>
            </w:pPr>
            <w:r>
              <w:t>定级工作完成所需费用</w:t>
            </w:r>
          </w:p>
        </w:tc>
        <w:tc>
          <w:tcPr>
            <w:tcW w:w="2654"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专家评估费标准</w:t>
            </w:r>
          </w:p>
        </w:tc>
        <w:tc>
          <w:tcPr>
            <w:tcW w:w="2654" w:type="dxa"/>
            <w:vAlign w:val="center"/>
          </w:tcPr>
          <w:p>
            <w:pPr>
              <w:pStyle w:val="22"/>
            </w:pPr>
            <w:r>
              <w:t>专家评估费标准</w:t>
            </w:r>
          </w:p>
        </w:tc>
        <w:tc>
          <w:tcPr>
            <w:tcW w:w="2654" w:type="dxa"/>
            <w:vAlign w:val="center"/>
          </w:tcPr>
          <w:p>
            <w:pPr>
              <w:pStyle w:val="22"/>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加强文物保护与利用</w:t>
            </w:r>
          </w:p>
        </w:tc>
        <w:tc>
          <w:tcPr>
            <w:tcW w:w="2654" w:type="dxa"/>
            <w:vAlign w:val="center"/>
          </w:tcPr>
          <w:p>
            <w:pPr>
              <w:pStyle w:val="22"/>
            </w:pPr>
            <w:r>
              <w:t>加强文物保护与利用</w:t>
            </w:r>
          </w:p>
        </w:tc>
        <w:tc>
          <w:tcPr>
            <w:tcW w:w="2654" w:type="dxa"/>
            <w:vAlign w:val="center"/>
          </w:tcPr>
          <w:p>
            <w:pPr>
              <w:pStyle w:val="22"/>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申请人满意度</w:t>
            </w:r>
          </w:p>
        </w:tc>
        <w:tc>
          <w:tcPr>
            <w:tcW w:w="2654" w:type="dxa"/>
            <w:vAlign w:val="center"/>
          </w:tcPr>
          <w:p>
            <w:pPr>
              <w:pStyle w:val="22"/>
            </w:pPr>
            <w:r>
              <w:t>申请人满意度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60377"/>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.中国文化和自然遗产日宣传活动绩效目标表</w:t>
      </w:r>
      <w:bookmarkEnd w:id="12"/>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中国文化和自然遗产日宣传活动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10.00</w:t>
            </w:r>
          </w:p>
        </w:tc>
        <w:tc>
          <w:tcPr>
            <w:tcW w:w="1327" w:type="dxa"/>
            <w:vAlign w:val="center"/>
          </w:tcPr>
          <w:p>
            <w:pPr>
              <w:pStyle w:val="23"/>
            </w:pPr>
            <w:r>
              <w:t>其中：财政    资金</w:t>
            </w:r>
          </w:p>
        </w:tc>
        <w:tc>
          <w:tcPr>
            <w:tcW w:w="1327" w:type="dxa"/>
            <w:vAlign w:val="center"/>
          </w:tcPr>
          <w:p>
            <w:pPr>
              <w:pStyle w:val="22"/>
            </w:pPr>
            <w:r>
              <w:t>10.00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文化遗产日宣传活动经费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文化遗产日组织各种活动，展示我市文化遗产保护工作取得的成绩，向市民进行文化遗产的相关法律法规、保护利用等各方面的宣传普及工作，增强全体民众的文化遗产保护意识，使文化遗产得到更好的保护、利用和传承。</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举办文化和自然遗产日活动数量</w:t>
            </w:r>
          </w:p>
        </w:tc>
        <w:tc>
          <w:tcPr>
            <w:tcW w:w="2654" w:type="dxa"/>
            <w:vAlign w:val="center"/>
          </w:tcPr>
          <w:p>
            <w:pPr>
              <w:pStyle w:val="22"/>
            </w:pPr>
            <w:r>
              <w:t>举办文化和自然遗产日活动数量</w:t>
            </w:r>
          </w:p>
        </w:tc>
        <w:tc>
          <w:tcPr>
            <w:tcW w:w="2654"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举办文化和自然遗产日宣传数量</w:t>
            </w:r>
          </w:p>
        </w:tc>
        <w:tc>
          <w:tcPr>
            <w:tcW w:w="2654" w:type="dxa"/>
            <w:vAlign w:val="center"/>
          </w:tcPr>
          <w:p>
            <w:pPr>
              <w:pStyle w:val="22"/>
            </w:pPr>
            <w:r>
              <w:t>举办文化和自然遗产日宣传数量</w:t>
            </w:r>
          </w:p>
        </w:tc>
        <w:tc>
          <w:tcPr>
            <w:tcW w:w="2654" w:type="dxa"/>
            <w:vAlign w:val="center"/>
          </w:tcPr>
          <w:p>
            <w:pPr>
              <w:pStyle w:val="2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活动完成率</w:t>
            </w:r>
          </w:p>
        </w:tc>
        <w:tc>
          <w:tcPr>
            <w:tcW w:w="2654" w:type="dxa"/>
            <w:vAlign w:val="center"/>
          </w:tcPr>
          <w:p>
            <w:pPr>
              <w:pStyle w:val="22"/>
            </w:pPr>
            <w:r>
              <w:t>活动完成率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宣传完成率</w:t>
            </w:r>
          </w:p>
        </w:tc>
        <w:tc>
          <w:tcPr>
            <w:tcW w:w="2654" w:type="dxa"/>
            <w:vAlign w:val="center"/>
          </w:tcPr>
          <w:p>
            <w:pPr>
              <w:pStyle w:val="22"/>
            </w:pPr>
            <w:r>
              <w:t>宣传完成率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宣传完成时间</w:t>
            </w:r>
          </w:p>
        </w:tc>
        <w:tc>
          <w:tcPr>
            <w:tcW w:w="2654" w:type="dxa"/>
            <w:vAlign w:val="center"/>
          </w:tcPr>
          <w:p>
            <w:pPr>
              <w:pStyle w:val="22"/>
            </w:pPr>
            <w:r>
              <w:t>宣传完成时间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活动完成时间</w:t>
            </w:r>
          </w:p>
        </w:tc>
        <w:tc>
          <w:tcPr>
            <w:tcW w:w="2654" w:type="dxa"/>
            <w:vAlign w:val="center"/>
          </w:tcPr>
          <w:p>
            <w:pPr>
              <w:pStyle w:val="22"/>
            </w:pPr>
            <w:r>
              <w:t>活动完成时间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宣传活动总费用</w:t>
            </w:r>
          </w:p>
        </w:tc>
        <w:tc>
          <w:tcPr>
            <w:tcW w:w="2654" w:type="dxa"/>
            <w:vAlign w:val="center"/>
          </w:tcPr>
          <w:p>
            <w:pPr>
              <w:pStyle w:val="22"/>
            </w:pPr>
            <w:r>
              <w:t>宣传活动总费用</w:t>
            </w:r>
          </w:p>
        </w:tc>
        <w:tc>
          <w:tcPr>
            <w:tcW w:w="2654"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增强全体民众文化遗产保护意识</w:t>
            </w:r>
          </w:p>
        </w:tc>
        <w:tc>
          <w:tcPr>
            <w:tcW w:w="2654" w:type="dxa"/>
            <w:vAlign w:val="center"/>
          </w:tcPr>
          <w:p>
            <w:pPr>
              <w:pStyle w:val="22"/>
            </w:pPr>
            <w:r>
              <w:t>增强全体民众文化遗产保护意识</w:t>
            </w:r>
          </w:p>
        </w:tc>
        <w:tc>
          <w:tcPr>
            <w:tcW w:w="2654" w:type="dxa"/>
            <w:vAlign w:val="center"/>
          </w:tcPr>
          <w:p>
            <w:pPr>
              <w:pStyle w:val="22"/>
            </w:pPr>
            <w:r>
              <w:t>进一步增强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参与公众的满意度</w:t>
            </w:r>
          </w:p>
        </w:tc>
        <w:tc>
          <w:tcPr>
            <w:tcW w:w="2654" w:type="dxa"/>
            <w:vAlign w:val="center"/>
          </w:tcPr>
          <w:p>
            <w:pPr>
              <w:pStyle w:val="22"/>
            </w:pPr>
            <w:r>
              <w:t>参与公众的满意度</w:t>
            </w:r>
          </w:p>
        </w:tc>
        <w:tc>
          <w:tcPr>
            <w:tcW w:w="2654" w:type="dxa"/>
            <w:vAlign w:val="center"/>
          </w:tcPr>
          <w:p>
            <w:pPr>
              <w:pStyle w:val="22"/>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zOTI5MzIzZmExZjA4NDVkNTc5NGQ4MTVjYTY5MjkifQ=="/>
  </w:docVars>
  <w:rsids>
    <w:rsidRoot w:val="00DD71FF"/>
    <w:rsid w:val="009E4EC6"/>
    <w:rsid w:val="00D919D0"/>
    <w:rsid w:val="00DD71FF"/>
    <w:rsid w:val="07AC1D64"/>
    <w:rsid w:val="336C26F0"/>
    <w:rsid w:val="A9FDA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3">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4">
    <w:name w:val="toc 3"/>
    <w:basedOn w:val="1"/>
    <w:next w:val="1"/>
    <w:unhideWhenUsed/>
    <w:qFormat/>
    <w:uiPriority w:val="39"/>
    <w:pPr>
      <w:widowControl w:val="0"/>
      <w:ind w:left="840" w:leftChars="400"/>
      <w:jc w:val="both"/>
    </w:pPr>
    <w:rPr>
      <w:rFonts w:asciiTheme="minorHAnsi" w:hAnsiTheme="minorHAnsi" w:eastAsiaTheme="minorEastAsia" w:cstheme="minorBidi"/>
      <w:kern w:val="2"/>
      <w:sz w:val="21"/>
      <w:szCs w:val="22"/>
      <w:lang w:eastAsia="zh-CN"/>
    </w:rPr>
  </w:style>
  <w:style w:type="paragraph" w:styleId="5">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6">
    <w:name w:val="footer"/>
    <w:basedOn w:val="1"/>
    <w:link w:val="26"/>
    <w:unhideWhenUsed/>
    <w:qFormat/>
    <w:uiPriority w:val="99"/>
    <w:pPr>
      <w:tabs>
        <w:tab w:val="center" w:pos="4153"/>
        <w:tab w:val="right" w:pos="8306"/>
      </w:tabs>
      <w:snapToGrid w:val="0"/>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pPr>
    <w:rPr>
      <w:rFonts w:eastAsia="方正仿宋_GBK"/>
      <w:color w:val="000000"/>
      <w:sz w:val="28"/>
    </w:rPr>
  </w:style>
  <w:style w:type="paragraph" w:styleId="9">
    <w:name w:val="toc 4"/>
    <w:basedOn w:val="1"/>
    <w:next w:val="1"/>
    <w:qFormat/>
    <w:uiPriority w:val="39"/>
    <w:pPr>
      <w:ind w:left="720"/>
    </w:pPr>
  </w:style>
  <w:style w:type="paragraph" w:styleId="10">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1">
    <w:name w:val="toc 2"/>
    <w:basedOn w:val="1"/>
    <w:next w:val="1"/>
    <w:qFormat/>
    <w:uiPriority w:val="39"/>
    <w:pPr>
      <w:ind w:left="240"/>
    </w:pPr>
  </w:style>
  <w:style w:type="paragraph" w:styleId="12">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插入文本样式-插入总体目标文件"/>
    <w:basedOn w:val="1"/>
    <w:qFormat/>
    <w:uiPriority w:val="0"/>
    <w:pPr>
      <w:spacing w:line="500" w:lineRule="exact"/>
      <w:ind w:firstLine="560"/>
    </w:pPr>
    <w:rPr>
      <w:rFonts w:eastAsia="方正仿宋_GBK"/>
      <w:sz w:val="28"/>
    </w:rPr>
  </w:style>
  <w:style w:type="paragraph" w:customStyle="1" w:styleId="18">
    <w:name w:val="插入文本样式-插入职责分类绩效目标文件"/>
    <w:basedOn w:val="1"/>
    <w:qFormat/>
    <w:uiPriority w:val="0"/>
    <w:pPr>
      <w:spacing w:line="500" w:lineRule="exact"/>
      <w:ind w:firstLine="560"/>
    </w:pPr>
    <w:rPr>
      <w:rFonts w:eastAsia="方正仿宋_GBK"/>
      <w:sz w:val="28"/>
    </w:rPr>
  </w:style>
  <w:style w:type="paragraph" w:customStyle="1" w:styleId="1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character" w:customStyle="1" w:styleId="25">
    <w:name w:val="页眉 Char"/>
    <w:basedOn w:val="15"/>
    <w:link w:val="7"/>
    <w:qFormat/>
    <w:uiPriority w:val="99"/>
    <w:rPr>
      <w:rFonts w:eastAsia="Times New Roman"/>
      <w:sz w:val="18"/>
      <w:szCs w:val="18"/>
      <w:lang w:eastAsia="uk-UA"/>
    </w:rPr>
  </w:style>
  <w:style w:type="character" w:customStyle="1" w:styleId="26">
    <w:name w:val="页脚 Char"/>
    <w:basedOn w:val="15"/>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26832</Words>
  <Characters>152944</Characters>
  <Lines>1274</Lines>
  <Paragraphs>358</Paragraphs>
  <TotalTime>5</TotalTime>
  <ScaleCrop>false</ScaleCrop>
  <LinksUpToDate>false</LinksUpToDate>
  <CharactersWithSpaces>179418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2024-02-01T23:09:00Z</dcterms:created>
  <dc:creator>zhaoj_9mn0uk2</dc:creator>
  <cp:lastModifiedBy>kylin</cp:lastModifiedBy>
  <dcterms:modified xsi:type="dcterms:W3CDTF">2024-02-21T10:25:58Z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BA41F86F214648B9AEFE8BF0D39B7942_13</vt:lpwstr>
  </property>
</Properties>
</file>