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sz w:val="48"/>
          <w:szCs w:val="24"/>
          <w:lang w:val="zh-CN"/>
        </w:rPr>
        <w:t>天津市文化遗产保护中心</w:t>
      </w: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sz w:val="48"/>
          <w:szCs w:val="24"/>
          <w:lang w:val="zh-CN"/>
        </w:rPr>
        <w:t>2024年单位预算</w:t>
      </w: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both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en-US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</w:sectPr>
      </w:pPr>
    </w:p>
    <w:p>
      <w:pPr>
        <w:spacing w:beforeLines="0" w:afterLines="0" w:line="60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en-US"/>
        </w:rPr>
      </w:pPr>
      <w:r>
        <w:rPr>
          <w:rFonts w:hint="eastAsia" w:ascii="黑体" w:hAnsi="黑体" w:eastAsia="黑体"/>
          <w:kern w:val="2"/>
          <w:sz w:val="44"/>
          <w:szCs w:val="24"/>
          <w:lang w:val="en-US"/>
        </w:rPr>
        <w:t>目   录</w:t>
      </w:r>
    </w:p>
    <w:p>
      <w:pPr>
        <w:keepNext/>
        <w:keepLines/>
        <w:spacing w:beforeLines="0" w:afterLines="0" w:line="60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第一部分  概 况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一、主要职责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二、机构设置情况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第二部分  2024年单位预算情况说明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一、关于收支总体情况表的说明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二、关于收入总体情况表的说明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三、关于支出总体情况表的说明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四、关于财政拨款收支总体情况表的说明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五、关于一般公共预算支出情况的说明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六、关于一般公共预算基本支出情况表的说明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七、关于一般公共预算“三公”经费支出情况表的说明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八、关于政府性基金预算支出情况表的说明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九、关于国有资本经营预算支出情况表的说明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十、其他重要事项的情况说明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第三部分  名词解释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第四部分  2024年单位预算表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一、收支总体情况表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二、收入总体情况表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三、支出总体情况表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sectPr>
          <w:footerReference r:id="rId3" w:type="default"/>
          <w:pgSz w:w="12240" w:h="15840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四、财政拨款收支总体情况表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五、一般公共预算支出情况表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六、一般公共预算基本支出情况表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七、一般公共预算“三公”经费支出情况表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八、政府性基金预算支出情况表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九、国有资本经营预算支出情况表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十、项目支出表</w:t>
      </w:r>
    </w:p>
    <w:p>
      <w:pPr>
        <w:spacing w:beforeLines="0" w:afterLines="0"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十一、关于空表的说明</w:t>
      </w: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ab/>
      </w: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highlight w:val="white"/>
          <w:lang w:val="zh-CN"/>
        </w:rPr>
      </w:pPr>
    </w:p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highlight w:val="white"/>
          <w:lang w:val="zh-CN"/>
        </w:rPr>
      </w:pPr>
    </w:p>
    <w:p>
      <w:pPr>
        <w:spacing w:beforeLines="0" w:afterLines="0"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highlight w:val="white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  <w:sectPr>
          <w:footerReference r:id="rId4" w:type="default"/>
          <w:pgSz w:w="12240" w:h="15840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  <w:t>第一部分  概 况</w:t>
      </w:r>
    </w:p>
    <w:p>
      <w:pPr>
        <w:spacing w:beforeLines="0" w:afterLines="0" w:line="580" w:lineRule="exact"/>
        <w:ind w:firstLine="480"/>
        <w:jc w:val="both"/>
        <w:rPr>
          <w:rFonts w:hint="default" w:ascii="Times New Roman" w:hAnsi="Times New Roman" w:eastAsia="Times New Roman"/>
          <w:kern w:val="2"/>
          <w:sz w:val="24"/>
          <w:szCs w:val="24"/>
          <w:lang w:val="zh-CN"/>
        </w:rPr>
      </w:pPr>
    </w:p>
    <w:p>
      <w:pPr>
        <w:pStyle w:val="3"/>
        <w:keepNext/>
        <w:keepLines/>
        <w:spacing w:before="260" w:beforeLines="0" w:after="260" w:afterLines="0" w:line="600" w:lineRule="exact"/>
        <w:ind w:firstLine="602"/>
        <w:rPr>
          <w:rFonts w:hint="eastAsia" w:ascii="黑体" w:hAnsi="黑体" w:eastAsia="黑体"/>
          <w:b/>
          <w:sz w:val="30"/>
          <w:szCs w:val="24"/>
          <w:lang w:val="en-US"/>
        </w:rPr>
      </w:pPr>
      <w:r>
        <w:rPr>
          <w:rFonts w:hint="eastAsia" w:ascii="黑体" w:hAnsi="黑体" w:eastAsia="黑体"/>
          <w:b/>
          <w:sz w:val="30"/>
          <w:szCs w:val="24"/>
          <w:lang w:val="en-US"/>
        </w:rPr>
        <w:t>一、主要职责</w:t>
      </w:r>
    </w:p>
    <w:p>
      <w:pPr>
        <w:spacing w:beforeLines="0" w:afterLines="0" w:line="600" w:lineRule="exact"/>
        <w:ind w:firstLine="600" w:firstLineChars="200"/>
        <w:rPr>
          <w:rFonts w:hint="eastAsia" w:ascii="Times New Roman" w:hAnsi="Times New Roman" w:eastAsia="仿宋_GB2312"/>
          <w:sz w:val="30"/>
          <w:szCs w:val="24"/>
        </w:rPr>
      </w:pPr>
      <w:r>
        <w:rPr>
          <w:rFonts w:hint="eastAsia" w:ascii="Times New Roman" w:hAnsi="Times New Roman" w:eastAsia="仿宋_GB2312"/>
          <w:sz w:val="30"/>
          <w:szCs w:val="24"/>
        </w:rPr>
        <w:t>开展文物征集、登编、保管、展览、宣传及相关研究工作；开展对全市不可移动文物和可移动文物的保护、研究及相关咨询服务等工作。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2"/>
        <w:rPr>
          <w:rFonts w:hint="eastAsia" w:ascii="黑体" w:hAnsi="黑体" w:eastAsia="黑体"/>
          <w:b/>
          <w:sz w:val="30"/>
          <w:szCs w:val="24"/>
          <w:lang w:val="en-US"/>
        </w:rPr>
      </w:pPr>
      <w:r>
        <w:rPr>
          <w:rFonts w:hint="eastAsia" w:ascii="黑体" w:hAnsi="黑体" w:eastAsia="黑体"/>
          <w:b/>
          <w:sz w:val="30"/>
          <w:szCs w:val="24"/>
          <w:lang w:val="en-US"/>
        </w:rPr>
        <w:t>二、机构设置情况</w:t>
      </w:r>
    </w:p>
    <w:p>
      <w:pPr>
        <w:spacing w:beforeLines="0" w:afterLines="0" w:line="600" w:lineRule="exact"/>
        <w:ind w:firstLine="600" w:firstLineChars="200"/>
        <w:rPr>
          <w:rFonts w:hint="default" w:ascii="Times New Roman" w:hAnsi="Times New Roman" w:eastAsia="仿宋_GB2312"/>
          <w:sz w:val="30"/>
          <w:szCs w:val="24"/>
        </w:rPr>
      </w:pPr>
      <w:r>
        <w:rPr>
          <w:rFonts w:hint="eastAsia" w:ascii="Times New Roman" w:hAnsi="Times New Roman" w:eastAsia="仿宋_GB2312"/>
          <w:sz w:val="30"/>
          <w:szCs w:val="24"/>
        </w:rPr>
        <w:t>天津市文化遗产保护中心内设</w:t>
      </w:r>
      <w:r>
        <w:rPr>
          <w:rFonts w:hint="default" w:ascii="Times New Roman" w:hAnsi="Times New Roman" w:eastAsia="仿宋_GB2312"/>
          <w:sz w:val="30"/>
          <w:szCs w:val="24"/>
        </w:rPr>
        <w:t>6</w:t>
      </w:r>
      <w:r>
        <w:rPr>
          <w:rFonts w:hint="eastAsia" w:ascii="Times New Roman" w:hAnsi="Times New Roman" w:eastAsia="仿宋_GB2312"/>
          <w:sz w:val="30"/>
          <w:szCs w:val="24"/>
        </w:rPr>
        <w:t>个职能部门，分别是综合办公室、展陈教育部、考古与文物保护部、社会文物管理部、遗产（资源）评估部、财务部。</w:t>
      </w:r>
    </w:p>
    <w:p>
      <w:pPr>
        <w:spacing w:beforeLines="0" w:afterLines="0" w:line="600" w:lineRule="exact"/>
        <w:ind w:firstLine="600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beforeLines="0" w:afterLines="0" w:line="360" w:lineRule="atLeast"/>
        <w:jc w:val="both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360" w:lineRule="atLeas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b/>
          <w:kern w:val="2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zh-CN"/>
        </w:rPr>
        <w:t xml:space="preserve">第二部分 </w:t>
      </w:r>
      <w:r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  <w:t xml:space="preserve"> 2024年单位预算情况说明</w:t>
      </w: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一、关于收支总体情况表的说明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按照综合预算的原则，天津市文化遗产保护中心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所有收入和支出均纳入单位预算管理。收入包括：一般公共预算拨款收入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1,282.3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、政府性基金预算拨款收入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、国有资本经营预算拨款收入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、财政专户管理资金收入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、事业收入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88.2万元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、事业单位经营收入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、上级补助收入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、附属单位上缴收入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、其他收入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15万元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、上年结转结余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3,607万元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；支出包括：教育支出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、文化旅游体育与传媒支出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3,996.1万元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、社会保障和就业支出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96.7万元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、卫生健康支出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51.4万元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、债务付息支出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"/>
        </w:rPr>
        <w:t>,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" w:eastAsia="zh-CN"/>
        </w:rPr>
        <w:t>年终结转结余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848.3万元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2024年收支总预算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4,992.5万元。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二、关于收入总体情况表的说明</w:t>
      </w:r>
    </w:p>
    <w:p>
      <w:pPr>
        <w:spacing w:beforeLines="0" w:afterLines="0"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2024年单位预算收入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4,992.5万元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，与2023年预算相比减少520.2万元，主要原因是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上年结转结余资金减少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。其中：上年结转结余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3,607万元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，占72.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；一般公共预算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1,282.3万元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，占25.7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；政府性基金预算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；国有资本经营预算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；财政专户管理资金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；事业收入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88.2万元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，占1.8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；事业单位经营收入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；上级补助收入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；附属单位上缴收入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；其他收入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15万元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，占0.3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三、关于支出总体情况表的说明</w:t>
      </w:r>
    </w:p>
    <w:p>
      <w:pPr>
        <w:spacing w:beforeLines="0" w:afterLines="0"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2024年支出预算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4,144.2万元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507.4万元，主要原因是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开展业务工作，项目支出增加474.3万元；有新增人员，基本支出增加33.1万元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。其中：基本支出1,478.7万元，占35.7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；项目支出2,665.5万元，占64.3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；事业单位经营支出0万元，占0.0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；上缴上级支出0万元，占0.0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；对附属单位补助支出0万元，占0.0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四、关于财政拨款收支总体情况表的说明</w:t>
      </w:r>
    </w:p>
    <w:p>
      <w:pPr>
        <w:spacing w:beforeLines="0" w:afterLines="0"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2024年财政拨款收入预算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1,342.7万元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，与2023年预算相比增加65.8万元，主要原因是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新增一个中央专项资金项目，新增人员2人，预算收入增加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。收入包括：一般公共预算拨款收入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1,282.3万元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、政府性基金预算拨款收入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、国有资本经营预算拨款收入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、上年财政结转结余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60.4万元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。2024年财政拨款支出预算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1,342.7万元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，与2023年预算相比增加65.8万元，主要原因是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新增一个中央专项资金项目，新增人员2人，预算收入增加支出随之增加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。支出包括：教育支出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、文化旅游体育与传媒支出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1,194.6万元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、社会保障和就业支出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96.7万元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、卫生健康支出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51.4万元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、债务付息支出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五、关于一般公共预算支出情况表的说明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楷体" w:hAnsi="楷体" w:eastAsia="楷体"/>
          <w:b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kern w:val="2"/>
          <w:sz w:val="30"/>
          <w:szCs w:val="24"/>
          <w:lang w:val="en-US"/>
        </w:rPr>
        <w:t>（一）总体情况。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2024年一般公共预算支出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1,342.7万元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，与2023年预算相比增加65.8万元，主要原因是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新增一个中央专项资金项目，新增人员2人，预算收入增加支出随之增加。</w:t>
      </w:r>
    </w:p>
    <w:p>
      <w:pPr>
        <w:spacing w:beforeLines="0" w:afterLines="0" w:line="600" w:lineRule="exact"/>
        <w:ind w:firstLine="600"/>
        <w:jc w:val="both"/>
        <w:rPr>
          <w:rFonts w:hint="eastAsia" w:ascii="楷体" w:hAnsi="楷体" w:eastAsia="楷体"/>
          <w:b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kern w:val="2"/>
          <w:sz w:val="30"/>
          <w:szCs w:val="24"/>
          <w:lang w:val="en-US"/>
        </w:rPr>
        <w:t>（二）具体情况。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仿宋" w:hAnsi="仿宋" w:eastAsia="仿宋"/>
          <w:sz w:val="30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“文化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旅游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体育与传媒支出”1,194.6万元，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与2023年预算相比增加66.1万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新增一个中央专项资金项目，新增人员2人，预算收入增加支出随之增加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其中：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“文物”1,194.6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包括: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“文物保护”1,168.6万元，主要用于：本单位人员、公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用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基本支出及文物保护项目支出；“博物馆”26万元，主要用于：博物馆免费开放补助经费；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" w:hAnsi="仿宋" w:eastAsia="仿宋"/>
          <w:sz w:val="30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“社会保障和就业支出”96.7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万元，与2023年预算相比增加1.2万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新增人员2人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，其中：</w:t>
      </w:r>
    </w:p>
    <w:p>
      <w:pPr>
        <w:spacing w:beforeLines="0" w:afterLines="0" w:line="580" w:lineRule="exact"/>
        <w:ind w:firstLine="600"/>
        <w:jc w:val="both"/>
        <w:rPr>
          <w:rFonts w:hint="eastAsia" w:ascii="仿宋" w:hAnsi="仿宋" w:eastAsia="仿宋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“行政事业单位养老支出”96.7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包括: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“机关事业单位基本养老保险缴费支出”64.5万元，主要用于：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职工基本养老保险缴费；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“机关事业单位职业年金缴费支出”32.2万元，主要用于：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职工职业年金缴费；</w:t>
      </w:r>
      <w:bookmarkStart w:id="0" w:name="_GoBack"/>
      <w:bookmarkEnd w:id="0"/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" w:hAnsi="仿宋" w:eastAsia="仿宋"/>
          <w:sz w:val="30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“卫生健康支出”51.4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万元，与2023年预算相比减少1.5万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，主要原因是本单位人员调整，因此卫生健康支出有所减少，其中：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 w:eastAsia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“行政事业单位医疗”51.4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包括: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“事业单位医疗”40.3万元，主要用于：职工基本医疗保险缴费；“其他行政事业单位医疗支出”11.1万元，主要用于：职工体检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六、关于一般公共预算基本支出情况表的说明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一般公共预算基本支出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1,056万元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，与2023年预算相比增加10.2万元，主要原因是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新增人员2人，人员经费有所增加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。其中：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人员经费951.7万元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，主要包括：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基本工资”187万元、“津贴补贴”87万元、“绩效工资”258.2万元、“机关事业单位基本养老保险缴费”64.5万元、“职业年金缴费”32.2万元、“职工基本医疗保险缴费”40.3万元、“其他社会保障缴费”7.7万元、“住房公积金”215.3万元、“医疗费”5万元、“其他工资福利支出”37万元、“退休费”11.4万元、“医疗费补助”6.1万元。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公用经费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104.3万元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，主要包括：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办公费”7万元、“手续费”0.1万元、“水费”1万元、“电费”17万元、“邮电费”3.6万元、“取暖费”10.7万元、“差旅费”4.5万元、“维修(护)费”8万元、“培训费”1.7万元、“委托业务费”20.4万元、“工会经费”8.2万元、“福利费”16.6万元、“其他交通费用”1.5万元、“其他商品和服务支出”1万元、“专用设备购置”3万元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七、关于一般公共预算“三公”经费支出情况表的说明</w:t>
      </w:r>
    </w:p>
    <w:p>
      <w:pPr>
        <w:spacing w:beforeLines="0" w:afterLines="0"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2024年一般公共预算“三公”经费安排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，与2023年预算相比持平，主要原因是本单位一般公共预算未安排“三公”经费。具体情况：</w:t>
      </w:r>
    </w:p>
    <w:p>
      <w:pPr>
        <w:spacing w:beforeLines="0" w:afterLines="0" w:line="56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  <w:t>一、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2024年因公出国（境）费预算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，与2023年预算相比持平，主要原因是本单位一般公共预算未安排‘因公出国（境）费’经费。</w:t>
      </w:r>
    </w:p>
    <w:p>
      <w:pPr>
        <w:spacing w:beforeLines="0" w:afterLines="0" w:line="56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  <w:t>二、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2024年公务用车购置及运行费预算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，其中公务用车运行费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，与2023年预算相比持平，主要原因是本单位一般公共预算未安排‘公务用车购置及运行费’经费；公务用车购置费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，与2023年预算相比持平，主要原因是本单位一般公共预算未安排‘公务用车购置费’经费。</w:t>
      </w:r>
    </w:p>
    <w:p>
      <w:pPr>
        <w:spacing w:beforeLines="0" w:afterLines="0" w:line="560" w:lineRule="exact"/>
        <w:ind w:firstLine="645"/>
        <w:jc w:val="both"/>
        <w:rPr>
          <w:rFonts w:hint="default" w:ascii="MS Serif" w:hAnsi="MS Serif" w:eastAsia="MS Serif"/>
          <w:color w:val="auto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  <w:t>三、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2024年公务接待费预算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，与2023年预算相比持平，主要原因是本单位一般公共预算未安排‘公务接待费’经费。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default" w:ascii="Calibri" w:hAnsi="Calibri" w:eastAsia="Calibri"/>
          <w:color w:val="auto"/>
          <w:kern w:val="2"/>
          <w:sz w:val="21"/>
          <w:szCs w:val="24"/>
          <w:lang w:val="zh-CN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八、关于政府性基金预算支出情况表的说明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预算中没有使用政府性基金预算安排的支出。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九、关于国有资本经营预算支出情况表的说明</w:t>
      </w:r>
    </w:p>
    <w:p>
      <w:pPr>
        <w:spacing w:beforeLines="0" w:afterLines="0"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2024年天津市文化遗产保护中心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预算中没有使用国有资本经营预算安排的支出。</w:t>
      </w:r>
    </w:p>
    <w:p>
      <w:pPr>
        <w:pStyle w:val="3"/>
        <w:keepNext/>
        <w:keepLines/>
        <w:spacing w:before="260" w:beforeLines="0" w:after="260" w:afterLines="0" w:line="600" w:lineRule="exact"/>
        <w:ind w:firstLine="600"/>
        <w:rPr>
          <w:rFonts w:hint="eastAsia" w:ascii="黑体" w:hAnsi="黑体" w:eastAsia="黑体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十、其他重要事项的情况说明</w:t>
      </w:r>
    </w:p>
    <w:p>
      <w:pPr>
        <w:spacing w:beforeLines="0" w:afterLines="0" w:line="600" w:lineRule="exact"/>
        <w:ind w:left="480"/>
        <w:jc w:val="both"/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 xml:space="preserve"> （一）机关运行经费。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" w:hAnsi="仿宋" w:eastAsia="仿宋"/>
          <w:color w:val="auto"/>
          <w:kern w:val="2"/>
          <w:sz w:val="30"/>
          <w:szCs w:val="24"/>
          <w:lang w:val="zh-CN"/>
        </w:rPr>
        <w:t xml:space="preserve"> 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天津市文化遗产保护中心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2024年未安排机关运行经费预算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。</w:t>
      </w:r>
    </w:p>
    <w:p>
      <w:pPr>
        <w:spacing w:beforeLines="0" w:afterLines="0" w:line="600" w:lineRule="exact"/>
        <w:ind w:firstLine="602"/>
        <w:jc w:val="both"/>
        <w:rPr>
          <w:rFonts w:hint="default" w:ascii="MS Serif" w:hAnsi="MS Serif" w:eastAsia="MS Serif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>（二）</w:t>
      </w: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政府采购情况</w:t>
      </w: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>。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本单位2024年安排政府采购预算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2,274.9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万元，其中：政府采购货物支出136.1万元、政府采购工程支出0万元、政府采购服务支出2,138.8万元。主要项目是：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服务器3万元，便携式计算机0.7万元，车辆购置70万元，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空调机0.4万元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金属质架类10万元，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安保服务67.9万元，出版服务125万元，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其他专业技术服务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1612.5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万元，房屋租赁服务2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55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万元，物业管理服务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78.4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，其他不另分类物品52万元。</w:t>
      </w:r>
    </w:p>
    <w:p>
      <w:pPr>
        <w:spacing w:beforeLines="0" w:afterLines="0" w:line="600" w:lineRule="exact"/>
        <w:ind w:firstLine="602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（三）国有资产占用情况</w:t>
      </w: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>。</w:t>
      </w:r>
    </w:p>
    <w:p>
      <w:pPr>
        <w:spacing w:beforeLines="0" w:afterLines="0"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截至2023年7月底，本单位共有车辆2辆，其中：副部（省）级及以上领导用车0辆、主要负责人干部用车0辆、机要通信用车0辆、应急保障用车0辆、执法执勤用车0辆、特种专业技术用车0辆、离退休干部服务用车0辆、其他用车2辆，其他用车主要包括业务活动用车。单价（账面原值）100万元以上的设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台（套）。</w:t>
      </w:r>
    </w:p>
    <w:p>
      <w:pPr>
        <w:spacing w:beforeLines="0" w:afterLines="0" w:line="600" w:lineRule="exact"/>
        <w:ind w:firstLine="602"/>
        <w:jc w:val="both"/>
        <w:rPr>
          <w:rFonts w:hint="default" w:ascii="MS Serif" w:hAnsi="MS Serif" w:eastAsia="MS Serif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（四）预算绩效情况说明。</w:t>
      </w:r>
    </w:p>
    <w:p>
      <w:pPr>
        <w:spacing w:beforeLines="0" w:afterLines="0"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本单位2024年实行绩效目标管理的项目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13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个，涉及预算金额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2,665.5万元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zh-CN"/>
        </w:rPr>
      </w:pPr>
    </w:p>
    <w:p>
      <w:pPr>
        <w:spacing w:beforeLines="0" w:afterLines="0" w:line="580" w:lineRule="exact"/>
        <w:jc w:val="center"/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zh-CN"/>
        </w:rPr>
        <w:t>第三部分</w:t>
      </w:r>
      <w:r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/>
        </w:rPr>
        <w:t xml:space="preserve">  </w:t>
      </w: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  <w:t>名词解释</w:t>
      </w:r>
    </w:p>
    <w:p>
      <w:pPr>
        <w:spacing w:beforeLines="0" w:afterLines="0" w:line="600" w:lineRule="exact"/>
        <w:ind w:firstLine="600"/>
        <w:jc w:val="both"/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beforeLines="0" w:afterLines="0" w:line="580" w:lineRule="exact"/>
        <w:ind w:firstLine="600"/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  <w:t>2.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beforeLines="0" w:afterLines="0"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default" w:ascii="MS Serif" w:hAnsi="MS Serif" w:eastAsia="MS Serif"/>
          <w:color w:val="auto"/>
          <w:kern w:val="2"/>
          <w:sz w:val="30"/>
          <w:szCs w:val="24"/>
          <w:lang w:val="en-US"/>
        </w:rPr>
      </w:pPr>
    </w:p>
    <w:p>
      <w:pPr>
        <w:spacing w:beforeLines="0" w:afterLines="0" w:line="580" w:lineRule="exact"/>
        <w:ind w:firstLine="600"/>
        <w:jc w:val="both"/>
        <w:rPr>
          <w:rFonts w:hint="default" w:ascii="MS Serif" w:hAnsi="MS Serif" w:eastAsia="MS Serif"/>
          <w:color w:val="auto"/>
          <w:kern w:val="2"/>
          <w:sz w:val="30"/>
          <w:szCs w:val="24"/>
          <w:lang w:val="en-US"/>
        </w:rPr>
      </w:pPr>
    </w:p>
    <w:p>
      <w:pPr>
        <w:numPr>
          <w:ilvl w:val="0"/>
          <w:numId w:val="0"/>
        </w:numPr>
        <w:spacing w:beforeLines="0" w:afterLines="0" w:line="580" w:lineRule="exact"/>
        <w:jc w:val="center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</w:pPr>
      <w:r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 w:eastAsia="zh-CN"/>
        </w:rPr>
        <w:t>第四部分</w:t>
      </w:r>
      <w:r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/>
        </w:rPr>
        <w:t xml:space="preserve"> </w:t>
      </w: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  <w:t>2024年单位预算表</w:t>
      </w:r>
    </w:p>
    <w:p>
      <w:pPr>
        <w:numPr>
          <w:ilvl w:val="0"/>
          <w:numId w:val="0"/>
        </w:numPr>
        <w:spacing w:beforeLines="0" w:afterLines="0" w:line="580" w:lineRule="exact"/>
        <w:jc w:val="both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</w:pP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一、《收支总体情况表》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二、《收入总体情况表》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三、《支出总体情况表》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四、《财政拨款收支总体情况表》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五、《一般公共预算支出情况表》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六、《一般公共预算基本支出情况表》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七、《一般公共预算“三公”经费支出情况表》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八、《政府性基金预算支出情况表》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九、《国有资本经营预算支出情况表》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十、《项目支出表》</w:t>
      </w:r>
    </w:p>
    <w:p>
      <w:pPr>
        <w:spacing w:beforeLines="0" w:afterLines="0"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十一、关于空表的说明</w:t>
      </w: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ab/>
      </w:r>
    </w:p>
    <w:p>
      <w:pPr>
        <w:spacing w:beforeLines="0" w:afterLines="0" w:line="560" w:lineRule="exact"/>
        <w:ind w:firstLine="600"/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color w:val="auto"/>
          <w:sz w:val="30"/>
          <w:szCs w:val="24"/>
          <w:lang w:val="en-US" w:eastAsia="zh-CN"/>
        </w:rPr>
        <w:t>1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.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zh-CN"/>
        </w:rPr>
        <w:t>天津市文化遗产保护中心</w:t>
      </w:r>
      <w:r>
        <w:rPr>
          <w:rFonts w:hint="default" w:ascii="Times New Roman" w:hAnsi="Times New Roman" w:eastAsia="楷体_GB2312"/>
          <w:color w:val="auto"/>
          <w:sz w:val="30"/>
          <w:szCs w:val="24"/>
          <w:lang w:val="en-US"/>
        </w:rPr>
        <w:t>2024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年一般公共预算“三公”经费支出情况表为空表。</w:t>
      </w:r>
    </w:p>
    <w:p>
      <w:pPr>
        <w:spacing w:beforeLines="0" w:afterLines="0" w:line="560" w:lineRule="exact"/>
        <w:ind w:firstLine="600"/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color w:val="auto"/>
          <w:sz w:val="30"/>
          <w:szCs w:val="24"/>
          <w:lang w:val="en-US" w:eastAsia="zh-CN"/>
        </w:rPr>
        <w:t>2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.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zh-CN"/>
        </w:rPr>
        <w:t>天津市文化遗产保护中心</w:t>
      </w:r>
      <w:r>
        <w:rPr>
          <w:rFonts w:hint="default" w:ascii="Times New Roman" w:hAnsi="Times New Roman" w:eastAsia="楷体_GB2312"/>
          <w:color w:val="auto"/>
          <w:sz w:val="30"/>
          <w:szCs w:val="24"/>
          <w:lang w:val="en-US"/>
        </w:rPr>
        <w:t>2024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年政府性基金预算支出情况表为空表。</w:t>
      </w:r>
    </w:p>
    <w:p>
      <w:pPr>
        <w:spacing w:beforeLines="0" w:afterLines="0" w:line="560" w:lineRule="exact"/>
        <w:ind w:firstLine="600"/>
        <w:rPr>
          <w:rFonts w:hint="eastAsia" w:ascii="楷体_GB2312" w:hAnsi="楷体_GB2312" w:eastAsia="楷体_GB2312"/>
          <w:color w:val="auto"/>
          <w:sz w:val="30"/>
          <w:szCs w:val="24"/>
          <w:lang w:val="zh-CN"/>
        </w:rPr>
      </w:pPr>
      <w:r>
        <w:rPr>
          <w:rFonts w:hint="eastAsia" w:ascii="楷体_GB2312" w:hAnsi="楷体_GB2312" w:eastAsia="楷体_GB2312"/>
          <w:color w:val="auto"/>
          <w:sz w:val="30"/>
          <w:szCs w:val="24"/>
          <w:lang w:val="en-US" w:eastAsia="zh-CN"/>
        </w:rPr>
        <w:t>3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.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zh-CN"/>
        </w:rPr>
        <w:t>天津市文化遗产保护中心</w:t>
      </w:r>
      <w:r>
        <w:rPr>
          <w:rFonts w:hint="default" w:ascii="Times New Roman" w:hAnsi="Times New Roman" w:eastAsia="楷体_GB2312"/>
          <w:color w:val="auto"/>
          <w:sz w:val="30"/>
          <w:szCs w:val="24"/>
          <w:lang w:val="en-US"/>
        </w:rPr>
        <w:t>2024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年国有资本经营预算支出情况表为空表。</w:t>
      </w:r>
    </w:p>
    <w:sectPr>
      <w:footerReference r:id="rId5" w:type="default"/>
      <w:pgSz w:w="12240" w:h="15840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erif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鏂囨湰妗?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鏂囨湰妗?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+hgFG6AQAAVAMAAA4AAABkcnMv&#10;ZTJvRG9jLnhtbK1TzWobMRC+F/oOQvdaa1OKWbw2CSGhUNpC2geQtZJXoD9Gsnd97Qv02EPvJcdc&#10;80Ap9C06kr1Om9xCLvJoZvzN932jXawGa8hOQtTeNXQ6qSiRTvhWu01Dv365fDOnJCbuWm68kw3d&#10;y0hXy9evFn2o5cx33rQSCIK4WPehoV1KoWYsik5aHic+SIdF5cHyhFfYsBZ4j+jWsFlVvWO9hzaA&#10;FzJGzF4cinRZ8JWSIn1SKspETEORWyonlHOdT7Zc8HoDPHRaHGnwZ7CwXDsceoK64ImTLegnUFYL&#10;8NGrNBHeMq+UFrJoQDXT6pGa644HWbSgOTGcbIovBys+7j4D0S3ujhLHLa7oz/dv9z9vft/d3v/6&#10;sXqbHepDrLHxOmBrGs790NAEWzmWIuaz9kGBzb+oimAL2r0/WSyHRAQmp/PZfF5hSWBtvOAI9vD3&#10;ADFdSW9JDhoKuMNiLd99iOnQOrbkac5famPKHo37L4GYOcMy/QPHHKVhPRw1rX27R0k9rr+hDt8n&#10;Jea9Q3fzSxkDGIP1GGwD6E2H1IoJeWQMZ9uEPAq9POSAfJyNqysCj88sv41/76Xr4WNY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qXm5zwAAAAUBAAAPAAAAAAAAAAEAIAAAADgAAABkcnMvZG93&#10;bnJldi54bWxQSwECFAAUAAAACACHTuJAX6GAUboBAABUAwAADgAAAAAAAAABACAAAAA0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true"/>
  <w:drawingGridHorizontalOrigin w:val="1701"/>
  <w:drawingGridVerticalOrigin w:val="1984"/>
  <w:doNotShadeFormData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DDB1D17"/>
    <w:rsid w:val="FCF9D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7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both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2024-03-06T22:36:00Z</dcterms:created>
  <dc:creator>kylin</dc:creator>
  <cp:lastModifiedBy>kylin</cp:lastModifiedBy>
  <dcterms:modified xsi:type="dcterms:W3CDTF">2024-03-06T15:35:15Z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